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Mumbai</w:t>
      </w:r>
    </w:p>
    <w:bookmarkStart w:id="20" w:name="Xbc2c87fa0b36508769cf2176f1e85da2658a094"/>
    <w:p>
      <w:pPr>
        <w:pStyle w:val="Heading1"/>
      </w:pPr>
      <w:r>
        <w:t xml:space="preserve">Experiment Protocol: Comparative Analysis of Legal Service Delivery</w:t>
      </w:r>
    </w:p>
    <w:p>
      <w:pPr>
        <w:pStyle w:val="FirstParagraph"/>
      </w:pPr>
      <w:r>
        <w:t xml:space="preserve">Operational Framework for Legal Practitioners in the Mumbai Jurisdiction</w:t>
      </w:r>
    </w:p>
    <w:bookmarkEnd w:id="20"/>
    <w:p>
      <w:pPr>
        <w:pStyle w:val="BodyText"/>
      </w:pPr>
      <w:r>
        <w:rPr>
          <w:bCs/>
          <w:b/>
        </w:rPr>
        <w:t xml:space="preserve">Protocol ID:</w:t>
      </w:r>
      <w:r>
        <w:t xml:space="preserve"> </w:t>
      </w:r>
      <w:r>
        <w:t xml:space="preserve">LEG-MUM-EXP-2024-001</w:t>
      </w:r>
    </w:p>
    <w:p>
      <w:pPr>
        <w:pStyle w:val="BodyText"/>
      </w:pPr>
      <w:r>
        <w:rPr>
          <w:bCs/>
          <w:b/>
        </w:rPr>
        <w:t xml:space="preserve">Subject:</w:t>
      </w:r>
      <w:r>
        <w:t xml:space="preserve"> </w:t>
      </w:r>
      <w:r>
        <w:t xml:space="preserve">Lawyer Performance and Client Satisfaction Metrics</w:t>
      </w:r>
    </w:p>
    <w:p>
      <w:pPr>
        <w:pStyle w:val="BodyText"/>
      </w:pPr>
      <w:r>
        <w:rPr>
          <w:bCs/>
          <w:b/>
        </w:rPr>
        <w:t xml:space="preserve">Location:</w:t>
      </w:r>
      <w:r>
        <w:t xml:space="preserve"> </w:t>
      </w:r>
      <w:r>
        <w:t xml:space="preserve">India Mumbai (High Court &amp; District Courts)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1" w:name="introduction-and-objective"/>
    <w:p>
      <w:pPr>
        <w:pStyle w:val="Heading2"/>
      </w:pPr>
      <w:r>
        <w:t xml:space="preserve">1. Introduction and Objective</w:t>
      </w:r>
    </w:p>
    <w:p>
      <w:pPr>
        <w:pStyle w:val="FirstParagraph"/>
      </w:pPr>
      <w:r>
        <w:t xml:space="preserve">This</w:t>
      </w:r>
      <w:r>
        <w:t xml:space="preserve"> </w:t>
      </w:r>
      <w:r>
        <w:rPr>
          <w:bCs/>
          <w:b/>
        </w:rPr>
        <w:t xml:space="preserve">Experiment Protocol</w:t>
      </w:r>
      <w:r>
        <w:t xml:space="preserve"> </w:t>
      </w:r>
      <w:r>
        <w:t xml:space="preserve">outlines the methodology for a controlled study designed to evaluate the efficiency, accessibility, and outcome quality of legal services provided by a</w:t>
      </w:r>
      <w:r>
        <w:t xml:space="preserve"> </w:t>
      </w:r>
      <w:r>
        <w:rPr>
          <w:bCs/>
          <w:b/>
        </w:rPr>
        <w:t xml:space="preserve">Lawyer</w:t>
      </w:r>
      <w:r>
        <w:t xml:space="preserve"> </w:t>
      </w:r>
      <w:r>
        <w:t xml:space="preserve">operating within the complex judicial landscape of</w:t>
      </w:r>
      <w:r>
        <w:t xml:space="preserve"> </w:t>
      </w:r>
      <w:r>
        <w:rPr>
          <w:bCs/>
          <w:b/>
        </w:rPr>
        <w:t xml:space="preserve">India Mumbai</w:t>
      </w:r>
      <w:r>
        <w:t xml:space="preserve">. The legal ecosystem in Mumbai, characterized by the Bombay High Court and numerous district courts, presents unique challenges regarding case backlogs, procedural intricacies, and client expectations.</w:t>
      </w:r>
    </w:p>
    <w:p>
      <w:pPr>
        <w:pStyle w:val="BodyText"/>
      </w:pPr>
      <w:r>
        <w:t xml:space="preserve">The primary objective is to quantify the impact of structured case management techniques on the performance of a</w:t>
      </w:r>
      <w:r>
        <w:t xml:space="preserve"> </w:t>
      </w:r>
      <w:r>
        <w:rPr>
          <w:bCs/>
          <w:b/>
        </w:rPr>
        <w:t xml:space="preserve">Lawyer</w:t>
      </w:r>
      <w:r>
        <w:t xml:space="preserve"> </w:t>
      </w:r>
      <w:r>
        <w:t xml:space="preserve">in Mumbai. By isolating specific variables such as communication frequency, digital documentation adoption, and pre-trial preparation rigor, this protocol aims to establish a baseline for excellence in legal practice within this specific geographic and jurisdictional context.</w:t>
      </w:r>
    </w:p>
    <w:bookmarkEnd w:id="21"/>
    <w:bookmarkStart w:id="22" w:name="scope-and-jurisdiction"/>
    <w:p>
      <w:pPr>
        <w:pStyle w:val="Heading2"/>
      </w:pPr>
      <w:r>
        <w:t xml:space="preserve">2. Scope and Jurisdiction</w:t>
      </w:r>
    </w:p>
    <w:p>
      <w:pPr>
        <w:pStyle w:val="FirstParagraph"/>
      </w:pPr>
      <w:r>
        <w:t xml:space="preserve">The scope of this</w:t>
      </w:r>
      <w:r>
        <w:t xml:space="preserve"> </w:t>
      </w:r>
      <w:r>
        <w:rPr>
          <w:bCs/>
          <w:b/>
        </w:rPr>
        <w:t xml:space="preserve">Experiment Protocol</w:t>
      </w:r>
      <w:r>
        <w:t xml:space="preserve"> </w:t>
      </w:r>
      <w:r>
        <w:t xml:space="preserve">is strictly limited to civil and commercial litigation matters handled within the courts of</w:t>
      </w:r>
      <w:r>
        <w:t xml:space="preserve"> </w:t>
      </w:r>
      <w:r>
        <w:rPr>
          <w:bCs/>
          <w:b/>
        </w:rPr>
        <w:t xml:space="preserve">India Mumbai</w:t>
      </w:r>
      <w:r>
        <w:t xml:space="preserve">. The study will not extend to criminal defense or corporate advisory outside of litigation contexts. The</w:t>
      </w:r>
      <w:r>
        <w:t xml:space="preserve"> </w:t>
      </w:r>
      <w:r>
        <w:rPr>
          <w:bCs/>
          <w:b/>
        </w:rPr>
        <w:t xml:space="preserve">Lawyer</w:t>
      </w:r>
      <w:r>
        <w:t xml:space="preserve"> </w:t>
      </w:r>
      <w:r>
        <w:t xml:space="preserve">participating in this experiment must be enrolled with the Bar Council of Maharashtra and Goa and actively practicing in the Mumbai region.</w:t>
      </w:r>
    </w:p>
    <w:p>
      <w:pPr>
        <w:pStyle w:val="BodyText"/>
      </w:pPr>
      <w:r>
        <w:t xml:space="preserve">The geographic constraints are significant. Mumbai's infrastructure, including traffic congestion and the physical dispersion of court complexes (e.g., Fort, Bandra, Andheri), directly influences the time management strategies of a</w:t>
      </w:r>
      <w:r>
        <w:t xml:space="preserve"> </w:t>
      </w:r>
      <w:r>
        <w:rPr>
          <w:bCs/>
          <w:b/>
        </w:rPr>
        <w:t xml:space="preserve">Lawyer</w:t>
      </w:r>
      <w:r>
        <w:t xml:space="preserve">. Therefore, this protocol accounts for logistical variables inherent to practicing law in Mumbai.</w:t>
      </w:r>
    </w:p>
    <w:bookmarkEnd w:id="22"/>
    <w:bookmarkStart w:id="25"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quasi-experimental design involving two groups of cases handled by the same</w:t>
      </w:r>
      <w:r>
        <w:t xml:space="preserve"> </w:t>
      </w:r>
      <w:r>
        <w:rPr>
          <w:bCs/>
          <w:b/>
        </w:rPr>
        <w:t xml:space="preserve">Lawyer</w:t>
      </w:r>
      <w:r>
        <w:t xml:space="preserve"> </w:t>
      </w:r>
      <w:r>
        <w:t xml:space="preserve">over a period of six months.</w:t>
      </w:r>
    </w:p>
    <w:p>
      <w:pPr>
        <w:numPr>
          <w:ilvl w:val="0"/>
          <w:numId w:val="1001"/>
        </w:numPr>
        <w:pStyle w:val="Compact"/>
      </w:pPr>
      <w:r>
        <w:rPr>
          <w:bCs/>
          <w:b/>
        </w:rPr>
        <w:t xml:space="preserve">Control Group:</w:t>
      </w:r>
      <w:r>
        <w:t xml:space="preserve"> </w:t>
      </w:r>
      <w:r>
        <w:t xml:space="preserve">Cases managed using traditional methods prevalent in Mumbai legal circles (physical file storage, ad-hoc client communication, standard court appearance schedules).</w:t>
      </w:r>
    </w:p>
    <w:p>
      <w:pPr>
        <w:numPr>
          <w:ilvl w:val="0"/>
          <w:numId w:val="1001"/>
        </w:numPr>
        <w:pStyle w:val="Compact"/>
      </w:pPr>
      <w:r>
        <w:rPr>
          <w:bCs/>
          <w:b/>
        </w:rPr>
        <w:t xml:space="preserve">Experimental Group:</w:t>
      </w:r>
      <w:r>
        <w:t xml:space="preserve"> </w:t>
      </w:r>
      <w:r>
        <w:t xml:space="preserve">Cases managed using optimized protocols (cloud-based case management, scheduled client updates, strategic pre-filing of documents to reduce adjournments).</w:t>
      </w:r>
    </w:p>
    <w:bookmarkEnd w:id="23"/>
    <w:bookmarkStart w:id="24" w:name="participant-selection"/>
    <w:p>
      <w:pPr>
        <w:pStyle w:val="Heading3"/>
      </w:pPr>
      <w:r>
        <w:t xml:space="preserve">3.2 Participant Selection</w:t>
      </w:r>
    </w:p>
    <w:p>
      <w:pPr>
        <w:pStyle w:val="FirstParagraph"/>
      </w:pPr>
      <w:r>
        <w:t xml:space="preserve">The</w:t>
      </w:r>
      <w:r>
        <w:t xml:space="preserve"> </w:t>
      </w:r>
      <w:r>
        <w:rPr>
          <w:bCs/>
          <w:b/>
        </w:rPr>
        <w:t xml:space="preserve">Lawyer</w:t>
      </w:r>
      <w:r>
        <w:t xml:space="preserve"> </w:t>
      </w:r>
      <w:r>
        <w:t xml:space="preserve">selected for this study must have a minimum of five years of experience in the Mumbai courts to ensure familiarity with local procedural nuances. The clients involved must provide informed consent, understanding that their case management style is part of a research initiative aimed at improving legal services in</w:t>
      </w:r>
      <w:r>
        <w:t xml:space="preserve"> </w:t>
      </w:r>
      <w:r>
        <w:rPr>
          <w:bCs/>
          <w:b/>
        </w:rPr>
        <w:t xml:space="preserve">India Mumbai</w:t>
      </w:r>
      <w:r>
        <w:t xml:space="preserve">.</w:t>
      </w:r>
    </w:p>
    <w:bookmarkEnd w:id="24"/>
    <w:bookmarkEnd w:id="25"/>
    <w:bookmarkStart w:id="28" w:name="experimental-procedures"/>
    <w:p>
      <w:pPr>
        <w:pStyle w:val="Heading2"/>
      </w:pPr>
      <w:r>
        <w:t xml:space="preserve">4. Experimental Procedures</w:t>
      </w:r>
    </w:p>
    <w:bookmarkStart w:id="26" w:name="data-collection-instruments"/>
    <w:p>
      <w:pPr>
        <w:pStyle w:val="Heading3"/>
      </w:pPr>
      <w:r>
        <w:t xml:space="preserve">4.1 Data Collection Instruments</w:t>
      </w:r>
    </w:p>
    <w:p>
      <w:pPr>
        <w:pStyle w:val="FirstParagraph"/>
      </w:pPr>
      <w:r>
        <w:t xml:space="preserve">To ensure the validity of this</w:t>
      </w:r>
      <w:r>
        <w:t xml:space="preserve"> </w:t>
      </w:r>
      <w:r>
        <w:rPr>
          <w:bCs/>
          <w:b/>
        </w:rPr>
        <w:t xml:space="preserve">Experiment Protocol</w:t>
      </w:r>
      <w:r>
        <w:t xml:space="preserve">, data will be collected through three primary instruments:</w:t>
      </w:r>
    </w:p>
    <w:p>
      <w:pPr>
        <w:numPr>
          <w:ilvl w:val="0"/>
          <w:numId w:val="1002"/>
        </w:numPr>
        <w:pStyle w:val="Compact"/>
      </w:pPr>
      <w:r>
        <w:rPr>
          <w:bCs/>
          <w:b/>
        </w:rPr>
        <w:t xml:space="preserve">Time-Tracking Logs:</w:t>
      </w:r>
      <w:r>
        <w:t xml:space="preserve"> </w:t>
      </w:r>
      <w:r>
        <w:t xml:space="preserve">The</w:t>
      </w:r>
      <w:r>
        <w:t xml:space="preserve"> </w:t>
      </w:r>
      <w:r>
        <w:rPr>
          <w:bCs/>
          <w:b/>
        </w:rPr>
        <w:t xml:space="preserve">Lawyer</w:t>
      </w:r>
      <w:r>
        <w:t xml:space="preserve"> </w:t>
      </w:r>
      <w:r>
        <w:t xml:space="preserve">will record time spent on case preparation, court travel within Mumbai, and client consultations.</w:t>
      </w:r>
    </w:p>
    <w:p>
      <w:pPr>
        <w:numPr>
          <w:ilvl w:val="0"/>
          <w:numId w:val="1002"/>
        </w:numPr>
        <w:pStyle w:val="Compact"/>
      </w:pPr>
      <w:r>
        <w:rPr>
          <w:bCs/>
          <w:b/>
        </w:rPr>
        <w:t xml:space="preserve">Client Satisfaction Surveys:</w:t>
      </w:r>
      <w:r>
        <w:t xml:space="preserve"> </w:t>
      </w:r>
      <w:r>
        <w:t xml:space="preserve">Distributed at three intervals (intake, mid-case, conclusion) to gauge the client's perception of the</w:t>
      </w:r>
      <w:r>
        <w:t xml:space="preserve"> </w:t>
      </w:r>
      <w:r>
        <w:rPr>
          <w:bCs/>
          <w:b/>
        </w:rPr>
        <w:t xml:space="preserve">Lawyer</w:t>
      </w:r>
      <w:r>
        <w:t xml:space="preserve">'s responsiveness and clarity.</w:t>
      </w:r>
    </w:p>
    <w:p>
      <w:pPr>
        <w:numPr>
          <w:ilvl w:val="0"/>
          <w:numId w:val="1002"/>
        </w:numPr>
        <w:pStyle w:val="Compact"/>
      </w:pPr>
      <w:r>
        <w:rPr>
          <w:bCs/>
          <w:b/>
        </w:rPr>
        <w:t xml:space="preserve">Court Outcome Metrics:</w:t>
      </w:r>
      <w:r>
        <w:t xml:space="preserve"> </w:t>
      </w:r>
      <w:r>
        <w:t xml:space="preserve">Tracking the number of adjournments granted, the speed of document filing via the e-Courts system, and the final disposition of the case.</w:t>
      </w:r>
    </w:p>
    <w:bookmarkEnd w:id="26"/>
    <w:bookmarkStart w:id="27" w:name="implementation-steps"/>
    <w:p>
      <w:pPr>
        <w:pStyle w:val="Heading3"/>
      </w:pPr>
      <w:r>
        <w:t xml:space="preserve">4.2 Implementation Steps</w:t>
      </w:r>
    </w:p>
    <w:p>
      <w:pPr>
        <w:pStyle w:val="FirstParagraph"/>
      </w:pPr>
      <w:r>
        <w:rPr>
          <w:bCs/>
          <w:b/>
        </w:rPr>
        <w:t xml:space="preserve">Phase 1: Baseline Establishment (Weeks 1-4)</w:t>
      </w:r>
      <w:r>
        <w:br/>
      </w:r>
      <w:r>
        <w:t xml:space="preserve">The</w:t>
      </w:r>
      <w:r>
        <w:t xml:space="preserve"> </w:t>
      </w:r>
      <w:r>
        <w:rPr>
          <w:bCs/>
          <w:b/>
        </w:rPr>
        <w:t xml:space="preserve">Lawyer</w:t>
      </w:r>
      <w:r>
        <w:t xml:space="preserve"> </w:t>
      </w:r>
      <w:r>
        <w:t xml:space="preserve">will continue standard practice while data is collected to establish a baseline. This phase is crucial for understanding the typical workflow of a legal professional in Mumbai without experimental interference.</w:t>
      </w:r>
    </w:p>
    <w:p>
      <w:pPr>
        <w:pStyle w:val="BodyText"/>
      </w:pPr>
      <w:r>
        <w:rPr>
          <w:bCs/>
          <w:b/>
        </w:rPr>
        <w:t xml:space="preserve">Phase 2: Intervention (Weeks 5-20)</w:t>
      </w:r>
      <w:r>
        <w:br/>
      </w:r>
      <w:r>
        <w:t xml:space="preserve">The experimental protocols are introduced. The</w:t>
      </w:r>
      <w:r>
        <w:t xml:space="preserve"> </w:t>
      </w:r>
      <w:r>
        <w:rPr>
          <w:bCs/>
          <w:b/>
        </w:rPr>
        <w:t xml:space="preserve">Lawyer</w:t>
      </w:r>
      <w:r>
        <w:t xml:space="preserve"> </w:t>
      </w:r>
      <w:r>
        <w:t xml:space="preserve">will implement digital filing strategies to navigate the Bombay High Court's e-filing portal more efficiently. Communication protocols will be standardized to ensure clients in Mumbai receive updates within 24 hours of any court hearing.</w:t>
      </w:r>
    </w:p>
    <w:p>
      <w:pPr>
        <w:pStyle w:val="BodyText"/>
      </w:pPr>
      <w:r>
        <w:rPr>
          <w:bCs/>
          <w:b/>
        </w:rPr>
        <w:t xml:space="preserve">Phase 3: Analysis (Weeks 21-24)</w:t>
      </w:r>
      <w:r>
        <w:br/>
      </w:r>
      <w:r>
        <w:t xml:space="preserve">Data from both groups will be aggregated. The focus will be on comparing the efficiency gains and client satisfaction scores between the traditional and experimental approaches.</w:t>
      </w:r>
    </w:p>
    <w:bookmarkEnd w:id="27"/>
    <w:bookmarkEnd w:id="28"/>
    <w:bookmarkStart w:id="29"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strictly to the Advocates Act, 1961, and the rules of professional conduct enforced by the Bar Council of India. The primary duty of the</w:t>
      </w:r>
      <w:r>
        <w:t xml:space="preserve"> </w:t>
      </w:r>
      <w:r>
        <w:rPr>
          <w:bCs/>
          <w:b/>
        </w:rPr>
        <w:t xml:space="preserve">Lawyer</w:t>
      </w:r>
      <w:r>
        <w:t xml:space="preserve"> </w:t>
      </w:r>
      <w:r>
        <w:t xml:space="preserve">remains the zealous representation of the client. No experimental procedure shall compromise the legal rights or interests of any client.</w:t>
      </w:r>
    </w:p>
    <w:p>
      <w:pPr>
        <w:pStyle w:val="BodyText"/>
      </w:pPr>
      <w:r>
        <w:t xml:space="preserve">Confidentiality is paramount. All data collected regarding cases in</w:t>
      </w:r>
      <w:r>
        <w:t xml:space="preserve"> </w:t>
      </w:r>
      <w:r>
        <w:rPr>
          <w:bCs/>
          <w:b/>
        </w:rPr>
        <w:t xml:space="preserve">India Mumbai</w:t>
      </w:r>
      <w:r>
        <w:t xml:space="preserve"> </w:t>
      </w:r>
      <w:r>
        <w:t xml:space="preserve">will be anonymized. Client identities will be replaced with unique identifiers to ensure privacy. The</w:t>
      </w:r>
      <w:r>
        <w:t xml:space="preserve"> </w:t>
      </w:r>
      <w:r>
        <w:rPr>
          <w:bCs/>
          <w:b/>
        </w:rPr>
        <w:t xml:space="preserve">Lawyer</w:t>
      </w:r>
      <w:r>
        <w:t xml:space="preserve"> </w:t>
      </w:r>
      <w:r>
        <w:t xml:space="preserve">must ensure that the use of digital tools in the experimental group complies with data protection standards.</w:t>
      </w:r>
    </w:p>
    <w:bookmarkEnd w:id="29"/>
    <w:bookmarkStart w:id="30" w:name="expected-outcomes-and-significance"/>
    <w:p>
      <w:pPr>
        <w:pStyle w:val="Heading2"/>
      </w:pPr>
      <w:r>
        <w:t xml:space="preserve">6. Expected Outcomes and Significance</w:t>
      </w:r>
    </w:p>
    <w:p>
      <w:pPr>
        <w:pStyle w:val="FirstParagraph"/>
      </w:pPr>
      <w:r>
        <w:t xml:space="preserve">It is hypothesized that the</w:t>
      </w:r>
      <w:r>
        <w:t xml:space="preserve"> </w:t>
      </w:r>
      <w:r>
        <w:rPr>
          <w:bCs/>
          <w:b/>
        </w:rPr>
        <w:t xml:space="preserve">Lawyer</w:t>
      </w:r>
      <w:r>
        <w:t xml:space="preserve"> </w:t>
      </w:r>
      <w:r>
        <w:t xml:space="preserve">utilizing the experimental protocol will demonstrate a 15% reduction in unnecessary adjournments and a 20% increase in client satisfaction scores compared to the control group. These outcomes would suggest that structured, technology-enabled practices can mitigate some of the systemic inefficiencies often associated with the Mumbai legal system.</w:t>
      </w:r>
    </w:p>
    <w:p>
      <w:pPr>
        <w:pStyle w:val="BodyText"/>
      </w:pPr>
      <w:r>
        <w:t xml:space="preserve">The significance of this</w:t>
      </w:r>
      <w:r>
        <w:t xml:space="preserve"> </w:t>
      </w:r>
      <w:r>
        <w:rPr>
          <w:bCs/>
          <w:b/>
        </w:rPr>
        <w:t xml:space="preserve">Experiment Protocol</w:t>
      </w:r>
      <w:r>
        <w:t xml:space="preserve"> </w:t>
      </w:r>
      <w:r>
        <w:t xml:space="preserve">extends beyond the individual practitioner. By documenting the efficacy of these methods in</w:t>
      </w:r>
      <w:r>
        <w:t xml:space="preserve"> </w:t>
      </w:r>
      <w:r>
        <w:rPr>
          <w:bCs/>
          <w:b/>
        </w:rPr>
        <w:t xml:space="preserve">India Mumbai</w:t>
      </w:r>
      <w:r>
        <w:t xml:space="preserve">, the findings can contribute to broader discussions on legal reform, judicial efficiency, and the modernization of legal practice in India. This study aims to provide a replicable model for other legal professionals seeking to enhance their service delivery in high-volume judicial environments.</w:t>
      </w:r>
    </w:p>
    <w:bookmarkEnd w:id="30"/>
    <w:bookmarkStart w:id="31" w:name="conclusion"/>
    <w:p>
      <w:pPr>
        <w:pStyle w:val="Heading2"/>
      </w:pPr>
      <w:r>
        <w:t xml:space="preserve">7. Conclusion</w:t>
      </w:r>
    </w:p>
    <w:p>
      <w:pPr>
        <w:pStyle w:val="FirstParagraph"/>
      </w:pPr>
      <w:r>
        <w:t xml:space="preserve">This document serves as the definitive guide for the execution of the proposed study. It ensures that the evaluation of the</w:t>
      </w:r>
      <w:r>
        <w:t xml:space="preserve"> </w:t>
      </w:r>
      <w:r>
        <w:rPr>
          <w:bCs/>
          <w:b/>
        </w:rPr>
        <w:t xml:space="preserve">Lawyer</w:t>
      </w:r>
      <w:r>
        <w:t xml:space="preserve">'s performance is conducted systematically, ethically, and with a clear focus on the unique operational realities of</w:t>
      </w:r>
      <w:r>
        <w:t xml:space="preserve"> </w:t>
      </w:r>
      <w:r>
        <w:rPr>
          <w:bCs/>
          <w:b/>
        </w:rPr>
        <w:t xml:space="preserve">India Mumbai</w:t>
      </w:r>
      <w:r>
        <w:t xml:space="preserve">. Adherence to this</w:t>
      </w:r>
      <w:r>
        <w:t xml:space="preserve"> </w:t>
      </w:r>
      <w:r>
        <w:rPr>
          <w:bCs/>
          <w:b/>
        </w:rPr>
        <w:t xml:space="preserve">Experiment Protocol</w:t>
      </w:r>
      <w:r>
        <w:t xml:space="preserve"> </w:t>
      </w:r>
      <w:r>
        <w:t xml:space="preserve">is mandatory for all personnel involved in the data collection and analysis phases to ensure the integrity and reliability of the results.</w:t>
      </w:r>
    </w:p>
    <w:p>
      <w:pPr>
        <w:pStyle w:val="BodyText"/>
      </w:pPr>
      <w:r>
        <w:t xml:space="preserve">© 2023 Legal Research Initiative. All rights reserved. This document is for experimental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Mumbai</dc:title>
  <dc:creator/>
  <dc:language>en</dc:language>
  <cp:keywords/>
  <dcterms:created xsi:type="dcterms:W3CDTF">2026-10-10T01:16:41Z</dcterms:created>
  <dcterms:modified xsi:type="dcterms:W3CDTF">2026-10-10T01:16:41Z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