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ae123cc522bbdf329fb8e7d3b976e25fbfcbec"/>
    <w:p>
      <w:pPr>
        <w:pStyle w:val="Heading1"/>
      </w:pPr>
      <w:r>
        <w:t xml:space="preserve">Experiment Protocol: Enhancing Legal Service Delivery by Lawyers in India New Delhi</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India New Delhi</w:t>
      </w:r>
    </w:p>
    <w:p>
      <w:pPr>
        <w:pStyle w:val="BodyText"/>
      </w:pPr>
      <w:r>
        <w:rPr>
          <w:bCs/>
          <w:b/>
        </w:rPr>
        <w:t xml:space="preserve">Prepared By:</w:t>
      </w:r>
      <w:r>
        <w:t xml:space="preserve"> </w:t>
      </w:r>
      <w:r>
        <w:t xml:space="preserve">Legal Research and Innovation Team</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improving the efficiency, accessibility, and quality of legal services provided by lawyers in India New Delhi. The legal landscape in India New Delhi is complex, characterized by a high volume of cases, diverse legal needs, and significant challenges in access to justice. This protocol aims to introduce innovative practices and technologies to enhance the performance of lawyers while ensuring compliance with local regulations and ethical standards.</w:t>
      </w:r>
    </w:p>
    <w:p>
      <w:pPr>
        <w:pStyle w:val="BodyText"/>
      </w:pPr>
      <w:r>
        <w:t xml:space="preserve">The primary focus is on leveraging digital tools, process optimization, and client-centric strategies to address the unique demands of the legal environment in India New Delhi. By implementing this protocol, we seek to create a replicable model that can be scaled across other regions in India.</w:t>
      </w:r>
    </w:p>
    <w:bookmarkEnd w:id="21"/>
    <w:bookmarkStart w:id="22"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assess the current state of legal service delivery by lawyers in India New Delhi.</w:t>
      </w:r>
    </w:p>
    <w:p>
      <w:pPr>
        <w:numPr>
          <w:ilvl w:val="0"/>
          <w:numId w:val="1001"/>
        </w:numPr>
        <w:pStyle w:val="Compact"/>
      </w:pPr>
      <w:r>
        <w:t xml:space="preserve">To identify bottlenecks and inefficiencies in existing workflows.</w:t>
      </w:r>
    </w:p>
    <w:p>
      <w:pPr>
        <w:numPr>
          <w:ilvl w:val="0"/>
          <w:numId w:val="1001"/>
        </w:numPr>
        <w:pStyle w:val="Compact"/>
      </w:pPr>
      <w:r>
        <w:t xml:space="preserve">To test the effectiveness of digital tools and technologies in improving case management and client communication.</w:t>
      </w:r>
    </w:p>
    <w:p>
      <w:pPr>
        <w:numPr>
          <w:ilvl w:val="0"/>
          <w:numId w:val="1001"/>
        </w:numPr>
        <w:pStyle w:val="Compact"/>
      </w:pPr>
      <w:r>
        <w:t xml:space="preserve">To evaluate the impact of standardized processes on the quality and consistency of legal services.</w:t>
      </w:r>
    </w:p>
    <w:p>
      <w:pPr>
        <w:numPr>
          <w:ilvl w:val="0"/>
          <w:numId w:val="1001"/>
        </w:numPr>
        <w:pStyle w:val="Compact"/>
      </w:pPr>
      <w:r>
        <w:t xml:space="preserve">To measure client satisfaction and accessibility improvements resulting from the implemented changes.</w:t>
      </w:r>
    </w:p>
    <w:bookmarkEnd w:id="22"/>
    <w:bookmarkStart w:id="23" w:name="scope"/>
    <w:p>
      <w:pPr>
        <w:pStyle w:val="Heading2"/>
      </w:pPr>
      <w:r>
        <w:t xml:space="preserve">3. Scope</w:t>
      </w:r>
    </w:p>
    <w:p>
      <w:pPr>
        <w:pStyle w:val="FirstParagraph"/>
      </w:pPr>
      <w:r>
        <w:t xml:space="preserve">This experiment will focus on lawyers practicing in India New Delhi, including those specializing in civil, criminal, corporate, and family law. The scope includes:</w:t>
      </w:r>
    </w:p>
    <w:p>
      <w:pPr>
        <w:numPr>
          <w:ilvl w:val="0"/>
          <w:numId w:val="1002"/>
        </w:numPr>
        <w:pStyle w:val="Compact"/>
      </w:pPr>
      <w:r>
        <w:t xml:space="preserve">Law firms and independent practitioners operating within India New Delhi.</w:t>
      </w:r>
    </w:p>
    <w:p>
      <w:pPr>
        <w:numPr>
          <w:ilvl w:val="0"/>
          <w:numId w:val="1002"/>
        </w:numPr>
        <w:pStyle w:val="Compact"/>
      </w:pPr>
      <w:r>
        <w:t xml:space="preserve">Clients seeking legal services in areas such as property disputes, contract law, criminal defense, and family matters.</w:t>
      </w:r>
    </w:p>
    <w:p>
      <w:pPr>
        <w:numPr>
          <w:ilvl w:val="0"/>
          <w:numId w:val="1002"/>
        </w:numPr>
        <w:pStyle w:val="Compact"/>
      </w:pPr>
      <w:r>
        <w:t xml:space="preserve">Integration of digital platforms for case tracking, document management, and virtual consultations.</w:t>
      </w:r>
    </w:p>
    <w:p>
      <w:pPr>
        <w:pStyle w:val="FirstParagraph"/>
      </w:pPr>
      <w:r>
        <w:t xml:space="preserve">The experiment will exclude government legal aid programs and international legal practices not directly serving clients in India New Delhi.</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lawyers will be selected based on the following criteria:</w:t>
      </w:r>
    </w:p>
    <w:p>
      <w:pPr>
        <w:numPr>
          <w:ilvl w:val="0"/>
          <w:numId w:val="1003"/>
        </w:numPr>
        <w:pStyle w:val="Compact"/>
      </w:pPr>
      <w:r>
        <w:t xml:space="preserve">Active practice in India New Delhi for at least three years.</w:t>
      </w:r>
    </w:p>
    <w:p>
      <w:pPr>
        <w:numPr>
          <w:ilvl w:val="0"/>
          <w:numId w:val="1003"/>
        </w:numPr>
        <w:pStyle w:val="Compact"/>
      </w:pPr>
      <w:r>
        <w:t xml:space="preserve">Willingness to adopt new tools and processes.</w:t>
      </w:r>
    </w:p>
    <w:p>
      <w:pPr>
        <w:numPr>
          <w:ilvl w:val="0"/>
          <w:numId w:val="1003"/>
        </w:numPr>
        <w:pStyle w:val="Compact"/>
      </w:pPr>
      <w:r>
        <w:t xml:space="preserve">Diverse representation across different areas of law.</w:t>
      </w:r>
    </w:p>
    <w:p>
      <w:pPr>
        <w:pStyle w:val="FirstParagraph"/>
      </w:pPr>
      <w:r>
        <w:t xml:space="preserve">Participants will be divided into two groups: a control group continuing with traditional methods and an experimental group adopting the proposed innovations.</w:t>
      </w:r>
    </w:p>
    <w:bookmarkEnd w:id="24"/>
    <w:bookmarkStart w:id="25" w:name="tools-and-technologies"/>
    <w:p>
      <w:pPr>
        <w:pStyle w:val="Heading3"/>
      </w:pPr>
      <w:r>
        <w:t xml:space="preserve">4.2 Tools and Technologies</w:t>
      </w:r>
    </w:p>
    <w:p>
      <w:pPr>
        <w:pStyle w:val="FirstParagraph"/>
      </w:pPr>
      <w:r>
        <w:t xml:space="preserve">The experimental group will utilize the following tools:</w:t>
      </w:r>
    </w:p>
    <w:p>
      <w:pPr>
        <w:numPr>
          <w:ilvl w:val="0"/>
          <w:numId w:val="1004"/>
        </w:numPr>
        <w:pStyle w:val="Compact"/>
      </w:pPr>
      <w:r>
        <w:rPr>
          <w:bCs/>
          <w:b/>
        </w:rPr>
        <w:t xml:space="preserve">Case Management Software:</w:t>
      </w:r>
      <w:r>
        <w:t xml:space="preserve"> </w:t>
      </w:r>
      <w:r>
        <w:t xml:space="preserve">For tracking deadlines, documents, and client interactions.</w:t>
      </w:r>
    </w:p>
    <w:p>
      <w:pPr>
        <w:numPr>
          <w:ilvl w:val="0"/>
          <w:numId w:val="1004"/>
        </w:numPr>
        <w:pStyle w:val="Compact"/>
      </w:pPr>
      <w:r>
        <w:rPr>
          <w:bCs/>
          <w:b/>
        </w:rPr>
        <w:t xml:space="preserve">Virtual Consultation Platforms:</w:t>
      </w:r>
      <w:r>
        <w:t xml:space="preserve"> </w:t>
      </w:r>
      <w:r>
        <w:t xml:space="preserve">To enable remote meetings with clients.</w:t>
      </w:r>
    </w:p>
    <w:p>
      <w:pPr>
        <w:numPr>
          <w:ilvl w:val="0"/>
          <w:numId w:val="1004"/>
        </w:numPr>
        <w:pStyle w:val="Compact"/>
      </w:pPr>
      <w:r>
        <w:rPr>
          <w:bCs/>
          <w:b/>
        </w:rPr>
        <w:t xml:space="preserve">Document Automation Tools:</w:t>
      </w:r>
      <w:r>
        <w:t xml:space="preserve"> </w:t>
      </w:r>
      <w:r>
        <w:t xml:space="preserve">To streamline the creation of legal documents.</w:t>
      </w:r>
    </w:p>
    <w:p>
      <w:pPr>
        <w:numPr>
          <w:ilvl w:val="0"/>
          <w:numId w:val="1004"/>
        </w:numPr>
        <w:pStyle w:val="Compact"/>
      </w:pPr>
      <w:r>
        <w:rPr>
          <w:bCs/>
          <w:b/>
        </w:rPr>
        <w:t xml:space="preserve">Client Portals:</w:t>
      </w:r>
      <w:r>
        <w:t xml:space="preserve"> </w:t>
      </w:r>
      <w:r>
        <w:t xml:space="preserve">For secure communication and file sharing.</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Surveys administered to lawyers and clients before and after the experiment.</w:t>
      </w:r>
    </w:p>
    <w:p>
      <w:pPr>
        <w:numPr>
          <w:ilvl w:val="0"/>
          <w:numId w:val="1005"/>
        </w:numPr>
        <w:pStyle w:val="Compact"/>
      </w:pPr>
      <w:r>
        <w:t xml:space="preserve">Performance metrics such as case resolution time, document turnaround time, and client response rates.</w:t>
      </w:r>
    </w:p>
    <w:p>
      <w:pPr>
        <w:numPr>
          <w:ilvl w:val="0"/>
          <w:numId w:val="1005"/>
        </w:numPr>
        <w:pStyle w:val="Compact"/>
      </w:pPr>
      <w:r>
        <w:t xml:space="preserve">Feedback sessions with participants to gather qualitative insights.</w:t>
      </w:r>
    </w:p>
    <w:bookmarkEnd w:id="26"/>
    <w:bookmarkEnd w:id="27"/>
    <w:bookmarkStart w:id="28" w:name="implementation-plan"/>
    <w:p>
      <w:pPr>
        <w:pStyle w:val="Heading2"/>
      </w:pPr>
      <w:r>
        <w:t xml:space="preserve">5. Implementation Plan</w:t>
      </w:r>
    </w:p>
    <w:p>
      <w:pPr>
        <w:pStyle w:val="FirstParagraph"/>
      </w:pPr>
      <w:r>
        <w:t xml:space="preserve">The experiment will be conducted over a period of six months, divided into the following phases:</w:t>
      </w:r>
    </w:p>
    <w:p>
      <w:pPr>
        <w:numPr>
          <w:ilvl w:val="0"/>
          <w:numId w:val="1006"/>
        </w:numPr>
        <w:pStyle w:val="Compact"/>
      </w:pPr>
      <w:r>
        <w:rPr>
          <w:bCs/>
          <w:b/>
        </w:rPr>
        <w:t xml:space="preserve">Phase 1 (Month 1):</w:t>
      </w:r>
      <w:r>
        <w:t xml:space="preserve"> </w:t>
      </w:r>
      <w:r>
        <w:t xml:space="preserve">Baseline assessment and training for participants.</w:t>
      </w:r>
    </w:p>
    <w:p>
      <w:pPr>
        <w:numPr>
          <w:ilvl w:val="0"/>
          <w:numId w:val="1006"/>
        </w:numPr>
        <w:pStyle w:val="Compact"/>
      </w:pPr>
      <w:r>
        <w:rPr>
          <w:bCs/>
          <w:b/>
        </w:rPr>
        <w:t xml:space="preserve">Phase 2 (Months 2-4):</w:t>
      </w:r>
      <w:r>
        <w:t xml:space="preserve"> </w:t>
      </w:r>
      <w:r>
        <w:t xml:space="preserve">Implementation of tools and processes in the experimental group.</w:t>
      </w:r>
    </w:p>
    <w:p>
      <w:pPr>
        <w:numPr>
          <w:ilvl w:val="0"/>
          <w:numId w:val="1006"/>
        </w:numPr>
        <w:pStyle w:val="Compact"/>
      </w:pPr>
      <w:r>
        <w:rPr>
          <w:bCs/>
          <w:b/>
        </w:rPr>
        <w:t xml:space="preserve">Phase 3 (Month 5):</w:t>
      </w:r>
      <w:r>
        <w:t xml:space="preserve"> </w:t>
      </w:r>
      <w:r>
        <w:t xml:space="preserve">Data collection and preliminary analysis.</w:t>
      </w:r>
    </w:p>
    <w:p>
      <w:pPr>
        <w:numPr>
          <w:ilvl w:val="0"/>
          <w:numId w:val="1006"/>
        </w:numPr>
        <w:pStyle w:val="Compact"/>
      </w:pPr>
      <w:r>
        <w:rPr>
          <w:bCs/>
          <w:b/>
        </w:rPr>
        <w:t xml:space="preserve">Phase 4 (Month 6):</w:t>
      </w:r>
      <w:r>
        <w:t xml:space="preserve"> </w:t>
      </w:r>
      <w:r>
        <w:t xml:space="preserve">Final evaluation and reporting.</w:t>
      </w:r>
    </w:p>
    <w:bookmarkEnd w:id="28"/>
    <w:bookmarkStart w:id="29" w:name="ethical-considerations"/>
    <w:p>
      <w:pPr>
        <w:pStyle w:val="Heading2"/>
      </w:pPr>
      <w:r>
        <w:t xml:space="preserve">6. Ethical Considerations</w:t>
      </w:r>
    </w:p>
    <w:p>
      <w:pPr>
        <w:pStyle w:val="FirstParagraph"/>
      </w:pPr>
      <w:r>
        <w:t xml:space="preserve">This experiment adheres to the ethical guidelines set by the Bar Council of India and respects the confidentiality of client information. All participants will provide informed consent, and data will be anonymized to protect privacy. Special attention will be given to ensuring that the introduction of new tools does not compromise the quality of legal advice or violate professional obligations.</w:t>
      </w:r>
    </w:p>
    <w:bookmarkEnd w:id="29"/>
    <w:bookmarkStart w:id="30" w:name="expected-outcomes"/>
    <w:p>
      <w:pPr>
        <w:pStyle w:val="Heading2"/>
      </w:pPr>
      <w:r>
        <w:t xml:space="preserve">7. Expected Outcomes</w:t>
      </w:r>
    </w:p>
    <w:p>
      <w:pPr>
        <w:pStyle w:val="FirstParagraph"/>
      </w:pPr>
      <w:r>
        <w:t xml:space="preserve">The anticipated outcomes of this experiment include:</w:t>
      </w:r>
    </w:p>
    <w:p>
      <w:pPr>
        <w:numPr>
          <w:ilvl w:val="0"/>
          <w:numId w:val="1007"/>
        </w:numPr>
        <w:pStyle w:val="Compact"/>
      </w:pPr>
      <w:r>
        <w:t xml:space="preserve">Improved efficiency in case management and document preparation.</w:t>
      </w:r>
    </w:p>
    <w:p>
      <w:pPr>
        <w:numPr>
          <w:ilvl w:val="0"/>
          <w:numId w:val="1007"/>
        </w:numPr>
        <w:pStyle w:val="Compact"/>
      </w:pPr>
      <w:r>
        <w:t xml:space="preserve">Enhanced accessibility of legal services for clients in India New Delhi.</w:t>
      </w:r>
    </w:p>
    <w:p>
      <w:pPr>
        <w:numPr>
          <w:ilvl w:val="0"/>
          <w:numId w:val="1007"/>
        </w:numPr>
        <w:pStyle w:val="Compact"/>
      </w:pPr>
      <w:r>
        <w:t xml:space="preserve">Higher levels of client satisfaction due to better communication and transparency.</w:t>
      </w:r>
    </w:p>
    <w:p>
      <w:pPr>
        <w:numPr>
          <w:ilvl w:val="0"/>
          <w:numId w:val="1007"/>
        </w:numPr>
        <w:pStyle w:val="Compact"/>
      </w:pPr>
      <w:r>
        <w:t xml:space="preserve">A framework for scaling successful practices to other regions in India.</w:t>
      </w:r>
    </w:p>
    <w:bookmarkEnd w:id="30"/>
    <w:bookmarkStart w:id="31" w:name="conclusion"/>
    <w:p>
      <w:pPr>
        <w:pStyle w:val="Heading2"/>
      </w:pPr>
      <w:r>
        <w:t xml:space="preserve">8. Conclusion</w:t>
      </w:r>
    </w:p>
    <w:p>
      <w:pPr>
        <w:pStyle w:val="FirstParagraph"/>
      </w:pPr>
      <w:r>
        <w:t xml:space="preserve">This Experiment Protocol provides a comprehensive roadmap for transforming the way lawyers deliver legal services in India New Delhi. By embracing innovation and focusing on client needs, we aim to address the challenges faced by the legal community and contribute to a more accessible and efficient justice system. The findings from this experiment will serve as a valuable resource for policymakers, legal practitioners, and stakeholders committed to advancing the rule of law in India.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India New Delhi</dc:title>
  <dc:creator/>
  <dc:language>en</dc:language>
  <cp:keywords/>
  <dcterms:created xsi:type="dcterms:W3CDTF">2026-10-10T04:33:10Z</dcterms:created>
  <dcterms:modified xsi:type="dcterms:W3CDTF">2026-10-10T04:33:10Z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