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Indonesia</w:t>
      </w:r>
      <w:r>
        <w:t xml:space="preserve"> </w:t>
      </w:r>
      <w:r>
        <w:t xml:space="preserve">Jakarta</w:t>
      </w:r>
    </w:p>
    <w:bookmarkStart w:id="20" w:name="X0afaca2d7cd6443a9d97e17cb328adca9326e18"/>
    <w:p>
      <w:pPr>
        <w:pStyle w:val="Heading1"/>
      </w:pPr>
      <w:r>
        <w:t xml:space="preserve">Experiment Protocol: Assessing the Impact of Digital Tools on Lawyer Efficiency in Indonesia Jakarta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Indonesia Jakarta</w:t>
      </w:r>
    </w:p>
    <w:p>
      <w:pPr>
        <w:pStyle w:val="BodyText"/>
      </w:pPr>
      <w:r>
        <w:rPr>
          <w:bCs/>
          <w:b/>
        </w:rPr>
        <w:t xml:space="preserve">Prepared by:</w:t>
      </w:r>
      <w:r>
        <w:t xml:space="preserve"> </w:t>
      </w:r>
      <w:r>
        <w:t xml:space="preserve">Legal Technology Research Group</w:t>
      </w:r>
    </w:p>
    <w:bookmarkEnd w:id="20"/>
    <w:bookmarkStart w:id="21" w:name="introduction"/>
    <w:p>
      <w:pPr>
        <w:pStyle w:val="Heading2"/>
      </w:pPr>
      <w:r>
        <w:t xml:space="preserve">1. Introduction</w:t>
      </w:r>
    </w:p>
    <w:p>
      <w:pPr>
        <w:pStyle w:val="FirstParagraph"/>
      </w:pPr>
      <w:r>
        <w:t xml:space="preserve">This Experiment Protocol outlines the methodology for evaluating the impact of digital tools on the efficiency and effectiveness of Lawyer practices in Indonesia Jakarta. The legal landscape in Indonesia Jakarta is rapidly evolving, with increasing demands for faster and more accessible legal services. This experiment aims to determine how the integration of digital tools can enhance the performance of Lawyer professionals in this dynamic environment.</w:t>
      </w:r>
    </w:p>
    <w:p>
      <w:pPr>
        <w:pStyle w:val="BodyText"/>
      </w:pPr>
      <w:r>
        <w:t xml:space="preserve">The primary objective is to measure improvements in case management, client communication, and document preparation when Lawyer practitioners adopt specific digital solutions. By focusing on Indonesia Jakarta, this study seeks to address local challenges and opportunities unique to the region's legal sector.</w:t>
      </w:r>
    </w:p>
    <w:bookmarkEnd w:id="21"/>
    <w:bookmarkStart w:id="22" w:name="objectives"/>
    <w:p>
      <w:pPr>
        <w:pStyle w:val="Heading2"/>
      </w:pPr>
      <w:r>
        <w:t xml:space="preserve">2. Objectives</w:t>
      </w:r>
    </w:p>
    <w:p>
      <w:pPr>
        <w:pStyle w:val="FirstParagraph"/>
      </w:pPr>
      <w:r>
        <w:t xml:space="preserve">The key objectives of this Experiment Protocol are as follows:</w:t>
      </w:r>
    </w:p>
    <w:p>
      <w:pPr>
        <w:numPr>
          <w:ilvl w:val="0"/>
          <w:numId w:val="1001"/>
        </w:numPr>
        <w:pStyle w:val="Compact"/>
      </w:pPr>
      <w:r>
        <w:t xml:space="preserve">To assess the impact of digital tools on the efficiency of Lawyer practices in Indonesia Jakarta.</w:t>
      </w:r>
    </w:p>
    <w:p>
      <w:pPr>
        <w:numPr>
          <w:ilvl w:val="0"/>
          <w:numId w:val="1001"/>
        </w:numPr>
        <w:pStyle w:val="Compact"/>
      </w:pPr>
      <w:r>
        <w:t xml:space="preserve">To identify specific digital solutions that enhance case management and client communication.</w:t>
      </w:r>
    </w:p>
    <w:p>
      <w:pPr>
        <w:numPr>
          <w:ilvl w:val="0"/>
          <w:numId w:val="1001"/>
        </w:numPr>
        <w:pStyle w:val="Compact"/>
      </w:pPr>
      <w:r>
        <w:t xml:space="preserve">To evaluate the cost-effectiveness of implementing these tools in Lawyer offices.</w:t>
      </w:r>
    </w:p>
    <w:p>
      <w:pPr>
        <w:numPr>
          <w:ilvl w:val="0"/>
          <w:numId w:val="1001"/>
        </w:numPr>
        <w:pStyle w:val="Compact"/>
      </w:pPr>
      <w:r>
        <w:t xml:space="preserve">To gather insights from Lawyer professionals on the usability and benefits of digital tools.</w:t>
      </w:r>
    </w:p>
    <w:p>
      <w:pPr>
        <w:numPr>
          <w:ilvl w:val="0"/>
          <w:numId w:val="1001"/>
        </w:numPr>
        <w:pStyle w:val="Compact"/>
      </w:pPr>
      <w:r>
        <w:t xml:space="preserve">To provide recommendations for the legal sector in Indonesia Jakarta on adopting digital technologies.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involving Lawyer practices across Indonesia Jakarta.</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Lawyer professionals from various firms in Indonesia Jakarta.</w:t>
      </w:r>
    </w:p>
    <w:p>
      <w:pPr>
        <w:numPr>
          <w:ilvl w:val="0"/>
          <w:numId w:val="1002"/>
        </w:numPr>
        <w:pStyle w:val="Compact"/>
      </w:pPr>
      <w:r>
        <w:t xml:space="preserve">Legal support staff involved in case management and client communication.</w:t>
      </w:r>
    </w:p>
    <w:p>
      <w:pPr>
        <w:numPr>
          <w:ilvl w:val="0"/>
          <w:numId w:val="1002"/>
        </w:numPr>
        <w:pStyle w:val="Compact"/>
      </w:pPr>
      <w:r>
        <w:t xml:space="preserve">Clients of participating Lawyer practices to provide feedback on service quality.</w:t>
      </w:r>
    </w:p>
    <w:bookmarkEnd w:id="24"/>
    <w:bookmarkStart w:id="25" w:name="digital-tools"/>
    <w:p>
      <w:pPr>
        <w:pStyle w:val="Heading3"/>
      </w:pPr>
      <w:r>
        <w:t xml:space="preserve">3.3 Digital Tools</w:t>
      </w:r>
    </w:p>
    <w:p>
      <w:pPr>
        <w:pStyle w:val="FirstParagraph"/>
      </w:pPr>
      <w:r>
        <w:t xml:space="preserve">The following digital tools will be evaluated:</w:t>
      </w:r>
    </w:p>
    <w:p>
      <w:pPr>
        <w:numPr>
          <w:ilvl w:val="0"/>
          <w:numId w:val="1003"/>
        </w:numPr>
        <w:pStyle w:val="Compact"/>
      </w:pPr>
      <w:r>
        <w:t xml:space="preserve">Case management software for organizing legal documents and tracking case progress.</w:t>
      </w:r>
    </w:p>
    <w:p>
      <w:pPr>
        <w:numPr>
          <w:ilvl w:val="0"/>
          <w:numId w:val="1003"/>
        </w:numPr>
        <w:pStyle w:val="Compact"/>
      </w:pPr>
      <w:r>
        <w:t xml:space="preserve">Client communication platforms for secure and efficient interaction.</w:t>
      </w:r>
    </w:p>
    <w:p>
      <w:pPr>
        <w:numPr>
          <w:ilvl w:val="0"/>
          <w:numId w:val="1003"/>
        </w:numPr>
        <w:pStyle w:val="Compact"/>
      </w:pPr>
      <w:r>
        <w:t xml:space="preserve">Document automation tools for generating legal documents.</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4"/>
        </w:numPr>
        <w:pStyle w:val="Compact"/>
      </w:pPr>
      <w:r>
        <w:t xml:space="preserve">Surveys administered to Lawyer professionals and clients.</w:t>
      </w:r>
    </w:p>
    <w:p>
      <w:pPr>
        <w:numPr>
          <w:ilvl w:val="0"/>
          <w:numId w:val="1004"/>
        </w:numPr>
        <w:pStyle w:val="Compact"/>
      </w:pPr>
      <w:r>
        <w:t xml:space="preserve">Interviews with key stakeholders in the legal sector.</w:t>
      </w:r>
    </w:p>
    <w:p>
      <w:pPr>
        <w:numPr>
          <w:ilvl w:val="0"/>
          <w:numId w:val="1004"/>
        </w:numPr>
        <w:pStyle w:val="Compact"/>
      </w:pPr>
      <w:r>
        <w:t xml:space="preserve">Observation of Lawyer practices using the digital tools.</w:t>
      </w:r>
    </w:p>
    <w:p>
      <w:pPr>
        <w:numPr>
          <w:ilvl w:val="0"/>
          <w:numId w:val="1004"/>
        </w:numPr>
        <w:pStyle w:val="Compact"/>
      </w:pPr>
      <w:r>
        <w:t xml:space="preserve">Analysis of performance metrics such as case resolution time and client satisfaction scores.</w:t>
      </w:r>
    </w:p>
    <w:bookmarkEnd w:id="26"/>
    <w:bookmarkEnd w:id="27"/>
    <w:bookmarkStart w:id="31" w:name="implementation-plan"/>
    <w:p>
      <w:pPr>
        <w:pStyle w:val="Heading2"/>
      </w:pPr>
      <w:r>
        <w:t xml:space="preserve">4. Implementation Plan</w:t>
      </w:r>
    </w:p>
    <w:bookmarkStart w:id="28" w:name="phase-1-preparation"/>
    <w:p>
      <w:pPr>
        <w:pStyle w:val="Heading3"/>
      </w:pPr>
      <w:r>
        <w:t xml:space="preserve">4.1 Phase 1: Preparation</w:t>
      </w:r>
    </w:p>
    <w:p>
      <w:pPr>
        <w:pStyle w:val="FirstParagraph"/>
      </w:pPr>
      <w:r>
        <w:t xml:space="preserve">During this phase, the research team will:</w:t>
      </w:r>
    </w:p>
    <w:p>
      <w:pPr>
        <w:numPr>
          <w:ilvl w:val="0"/>
          <w:numId w:val="1005"/>
        </w:numPr>
        <w:pStyle w:val="Compact"/>
      </w:pPr>
      <w:r>
        <w:t xml:space="preserve">Select participating Lawyer practices in Indonesia Jakarta.</w:t>
      </w:r>
    </w:p>
    <w:p>
      <w:pPr>
        <w:numPr>
          <w:ilvl w:val="0"/>
          <w:numId w:val="1005"/>
        </w:numPr>
        <w:pStyle w:val="Compact"/>
      </w:pPr>
      <w:r>
        <w:t xml:space="preserve">Provide training on the use of digital tools.</w:t>
      </w:r>
    </w:p>
    <w:p>
      <w:pPr>
        <w:numPr>
          <w:ilvl w:val="0"/>
          <w:numId w:val="1005"/>
        </w:numPr>
        <w:pStyle w:val="Compact"/>
      </w:pPr>
      <w:r>
        <w:t xml:space="preserve">Establish baseline metrics for efficiency and effectiveness.</w:t>
      </w:r>
    </w:p>
    <w:bookmarkEnd w:id="28"/>
    <w:bookmarkStart w:id="29" w:name="phase-2-intervention"/>
    <w:p>
      <w:pPr>
        <w:pStyle w:val="Heading3"/>
      </w:pPr>
      <w:r>
        <w:t xml:space="preserve">4.2 Phase 2: Intervention</w:t>
      </w:r>
    </w:p>
    <w:p>
      <w:pPr>
        <w:pStyle w:val="FirstParagraph"/>
      </w:pPr>
      <w:r>
        <w:t xml:space="preserve">In this phase, Lawyer practices will:</w:t>
      </w:r>
    </w:p>
    <w:p>
      <w:pPr>
        <w:numPr>
          <w:ilvl w:val="0"/>
          <w:numId w:val="1006"/>
        </w:numPr>
        <w:pStyle w:val="Compact"/>
      </w:pPr>
      <w:r>
        <w:t xml:space="preserve">Implement the selected digital tools in their daily operations.</w:t>
      </w:r>
    </w:p>
    <w:p>
      <w:pPr>
        <w:numPr>
          <w:ilvl w:val="0"/>
          <w:numId w:val="1006"/>
        </w:numPr>
        <w:pStyle w:val="Compact"/>
      </w:pPr>
      <w:r>
        <w:t xml:space="preserve">Collect data on tool usage and performance metrics.</w:t>
      </w:r>
    </w:p>
    <w:p>
      <w:pPr>
        <w:numPr>
          <w:ilvl w:val="0"/>
          <w:numId w:val="1006"/>
        </w:numPr>
        <w:pStyle w:val="Compact"/>
      </w:pPr>
      <w:r>
        <w:t xml:space="preserve">Provide feedback on the usability and impact of the tools.</w:t>
      </w:r>
    </w:p>
    <w:bookmarkEnd w:id="29"/>
    <w:bookmarkStart w:id="30" w:name="phase-3-evaluation"/>
    <w:p>
      <w:pPr>
        <w:pStyle w:val="Heading3"/>
      </w:pPr>
      <w:r>
        <w:t xml:space="preserve">4.3 Phase 3: Evaluation</w:t>
      </w:r>
    </w:p>
    <w:p>
      <w:pPr>
        <w:pStyle w:val="FirstParagraph"/>
      </w:pPr>
      <w:r>
        <w:t xml:space="preserve">The research team will:</w:t>
      </w:r>
    </w:p>
    <w:p>
      <w:pPr>
        <w:numPr>
          <w:ilvl w:val="0"/>
          <w:numId w:val="1007"/>
        </w:numPr>
        <w:pStyle w:val="Compact"/>
      </w:pPr>
      <w:r>
        <w:t xml:space="preserve">Analyze the collected data to assess the impact of digital tools.</w:t>
      </w:r>
    </w:p>
    <w:p>
      <w:pPr>
        <w:numPr>
          <w:ilvl w:val="0"/>
          <w:numId w:val="1007"/>
        </w:numPr>
        <w:pStyle w:val="Compact"/>
      </w:pPr>
      <w:r>
        <w:t xml:space="preserve">Compare performance metrics before and after the intervention.</w:t>
      </w:r>
    </w:p>
    <w:p>
      <w:pPr>
        <w:numPr>
          <w:ilvl w:val="0"/>
          <w:numId w:val="1007"/>
        </w:numPr>
        <w:pStyle w:val="Compact"/>
      </w:pPr>
      <w:r>
        <w:t xml:space="preserve">Conduct interviews and focus groups to gather qualitative insights.</w:t>
      </w:r>
    </w:p>
    <w:bookmarkEnd w:id="30"/>
    <w:bookmarkEnd w:id="31"/>
    <w:bookmarkStart w:id="32" w:name="ethical-considerations"/>
    <w:p>
      <w:pPr>
        <w:pStyle w:val="Heading2"/>
      </w:pPr>
      <w:r>
        <w:t xml:space="preserve">5. Ethical Considerations</w:t>
      </w:r>
    </w:p>
    <w:p>
      <w:pPr>
        <w:pStyle w:val="FirstParagraph"/>
      </w:pPr>
      <w:r>
        <w:t xml:space="preserve">This Experiment Protocol adheres to ethical guidelines for research involving human participants. Key considerations include:</w:t>
      </w:r>
    </w:p>
    <w:p>
      <w:pPr>
        <w:numPr>
          <w:ilvl w:val="0"/>
          <w:numId w:val="1008"/>
        </w:numPr>
        <w:pStyle w:val="Compact"/>
      </w:pPr>
      <w:r>
        <w:t xml:space="preserve">Informed consent from all participants.</w:t>
      </w:r>
    </w:p>
    <w:p>
      <w:pPr>
        <w:numPr>
          <w:ilvl w:val="0"/>
          <w:numId w:val="1008"/>
        </w:numPr>
        <w:pStyle w:val="Compact"/>
      </w:pPr>
      <w:r>
        <w:t xml:space="preserve">Confidentiality of participant data.</w:t>
      </w:r>
    </w:p>
    <w:p>
      <w:pPr>
        <w:numPr>
          <w:ilvl w:val="0"/>
          <w:numId w:val="1008"/>
        </w:numPr>
        <w:pStyle w:val="Compact"/>
      </w:pPr>
      <w:r>
        <w:t xml:space="preserve">Voluntary participation with the option to withdraw at any time.</w:t>
      </w:r>
    </w:p>
    <w:p>
      <w:pPr>
        <w:numPr>
          <w:ilvl w:val="0"/>
          <w:numId w:val="1008"/>
        </w:numPr>
        <w:pStyle w:val="Compact"/>
      </w:pPr>
      <w:r>
        <w:t xml:space="preserve">Compliance with local regulations in Indonesia Jakarta.</w:t>
      </w:r>
    </w:p>
    <w:bookmarkEnd w:id="32"/>
    <w:bookmarkStart w:id="33" w:name="expected-outcomes"/>
    <w:p>
      <w:pPr>
        <w:pStyle w:val="Heading2"/>
      </w:pPr>
      <w:r>
        <w:t xml:space="preserve">6. Expected Outcomes</w:t>
      </w:r>
    </w:p>
    <w:p>
      <w:pPr>
        <w:pStyle w:val="FirstParagraph"/>
      </w:pPr>
      <w:r>
        <w:t xml:space="preserve">The expected outcomes of this experiment include:</w:t>
      </w:r>
    </w:p>
    <w:p>
      <w:pPr>
        <w:numPr>
          <w:ilvl w:val="0"/>
          <w:numId w:val="1009"/>
        </w:numPr>
        <w:pStyle w:val="Compact"/>
      </w:pPr>
      <w:r>
        <w:t xml:space="preserve">Improved efficiency in Lawyer practices through the use of digital tools.</w:t>
      </w:r>
    </w:p>
    <w:p>
      <w:pPr>
        <w:numPr>
          <w:ilvl w:val="0"/>
          <w:numId w:val="1009"/>
        </w:numPr>
        <w:pStyle w:val="Compact"/>
      </w:pPr>
      <w:r>
        <w:t xml:space="preserve">Enhanced client satisfaction due to faster and more transparent legal services.</w:t>
      </w:r>
    </w:p>
    <w:p>
      <w:pPr>
        <w:numPr>
          <w:ilvl w:val="0"/>
          <w:numId w:val="1009"/>
        </w:numPr>
        <w:pStyle w:val="Compact"/>
      </w:pPr>
      <w:r>
        <w:t xml:space="preserve">Identification of best practices for digital tool adoption in the legal sector.</w:t>
      </w:r>
    </w:p>
    <w:p>
      <w:pPr>
        <w:numPr>
          <w:ilvl w:val="0"/>
          <w:numId w:val="1009"/>
        </w:numPr>
        <w:pStyle w:val="Compact"/>
      </w:pPr>
      <w:r>
        <w:t xml:space="preserve">Recommendations for policy and practice in Indonesia Jakarta.</w:t>
      </w:r>
    </w:p>
    <w:bookmarkEnd w:id="33"/>
    <w:bookmarkStart w:id="34" w:name="conclusion"/>
    <w:p>
      <w:pPr>
        <w:pStyle w:val="Heading2"/>
      </w:pPr>
      <w:r>
        <w:t xml:space="preserve">7. Conclusion</w:t>
      </w:r>
    </w:p>
    <w:p>
      <w:pPr>
        <w:pStyle w:val="FirstParagraph"/>
      </w:pPr>
      <w:r>
        <w:t xml:space="preserve">This Experiment Protocol provides a comprehensive framework for evaluating the impact of digital tools on Lawyer practices in Indonesia Jakarta. By systematically assessing the benefits and challenges of digital adoption, this study aims to contribute to the modernization of the legal sector in the region. The findings will offer valuable insights for Lawyer professionals, legal firms, and policymakers seeking to enhance the efficiency and accessibility of legal services in Indonesia Jakarta.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Indonesia Jakarta</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