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Iran</w:t>
      </w:r>
      <w:r>
        <w:t xml:space="preserve"> </w:t>
      </w:r>
      <w:r>
        <w:t xml:space="preserve">Tehran</w:t>
      </w:r>
    </w:p>
    <w:bookmarkStart w:id="32" w:name="X0a691a00af87f08876da706353c8d99b8159722"/>
    <w:p>
      <w:pPr>
        <w:pStyle w:val="Heading1"/>
      </w:pPr>
      <w:r>
        <w:t xml:space="preserve">Experiment Protocol: Comparative Analysis of Legal Practice Standards</w:t>
      </w:r>
    </w:p>
    <w:bookmarkStart w:id="20"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operational efficiency, ethical adherence, and procedural accuracy of a</w:t>
      </w:r>
      <w:r>
        <w:t xml:space="preserve"> </w:t>
      </w:r>
      <w:r>
        <w:rPr>
          <w:bCs/>
          <w:b/>
        </w:rPr>
        <w:t xml:space="preserve">Lawyer</w:t>
      </w:r>
      <w:r>
        <w:t xml:space="preserve"> </w:t>
      </w:r>
      <w:r>
        <w:t xml:space="preserve">practicing within the jurisdiction of</w:t>
      </w:r>
      <w:r>
        <w:t xml:space="preserve"> </w:t>
      </w:r>
      <w:r>
        <w:rPr>
          <w:bCs/>
          <w:b/>
        </w:rPr>
        <w:t xml:space="preserve">Iran Tehran</w:t>
      </w:r>
      <w:r>
        <w:t xml:space="preserve">. The primary objective of this study is to assess how legal professionals navigate the complex intersection of civil law, Islamic jurisprudence, and local administrative regulations specific to the capital city.</w:t>
      </w:r>
    </w:p>
    <w:p>
      <w:pPr>
        <w:pStyle w:val="BodyText"/>
      </w:pPr>
      <w:r>
        <w:t xml:space="preserve">The protocol aims to provide a structured framework for observing legal interactions, case management strategies, and client communication methods. By focusing specifically on the legal environment of</w:t>
      </w:r>
      <w:r>
        <w:t xml:space="preserve"> </w:t>
      </w:r>
      <w:r>
        <w:rPr>
          <w:bCs/>
          <w:b/>
        </w:rPr>
        <w:t xml:space="preserve">Iran Tehran</w:t>
      </w:r>
      <w:r>
        <w:t xml:space="preserve">, this experiment seeks to identify unique challenges and best practices that distinguish legal practice in this region from other jurisdictions.</w:t>
      </w:r>
    </w:p>
    <w:bookmarkEnd w:id="20"/>
    <w:bookmarkStart w:id="21" w:name="scope-and-jurisdictional-context"/>
    <w:p>
      <w:pPr>
        <w:pStyle w:val="Heading2"/>
      </w:pPr>
      <w:r>
        <w:t xml:space="preserve">2. Scope and Jurisdictional Context</w:t>
      </w:r>
    </w:p>
    <w:p>
      <w:pPr>
        <w:pStyle w:val="FirstParagraph"/>
      </w:pPr>
      <w:r>
        <w:t xml:space="preserve">The scope of this</w:t>
      </w:r>
      <w:r>
        <w:t xml:space="preserve"> </w:t>
      </w:r>
      <w:r>
        <w:rPr>
          <w:bCs/>
          <w:b/>
        </w:rPr>
        <w:t xml:space="preserve">Experiment Protocol</w:t>
      </w:r>
      <w:r>
        <w:t xml:space="preserve"> </w:t>
      </w:r>
      <w:r>
        <w:t xml:space="preserve">is strictly limited to legal activities conducted within the metropolitan area of</w:t>
      </w:r>
      <w:r>
        <w:t xml:space="preserve"> </w:t>
      </w:r>
      <w:r>
        <w:rPr>
          <w:bCs/>
          <w:b/>
        </w:rPr>
        <w:t xml:space="preserve">Iran Tehran</w:t>
      </w:r>
      <w:r>
        <w:t xml:space="preserve">. This includes proceedings in the General Courts of Tehran, the Revolutionary Courts, and the specialized arbitration centers located in the capital.</w:t>
      </w:r>
    </w:p>
    <w:p>
      <w:pPr>
        <w:pStyle w:val="BodyText"/>
      </w:pPr>
      <w:r>
        <w:t xml:space="preserve">The</w:t>
      </w:r>
      <w:r>
        <w:t xml:space="preserve"> </w:t>
      </w:r>
      <w:r>
        <w:rPr>
          <w:bCs/>
          <w:b/>
        </w:rPr>
        <w:t xml:space="preserve">Lawyer</w:t>
      </w:r>
      <w:r>
        <w:t xml:space="preserve"> </w:t>
      </w:r>
      <w:r>
        <w:t xml:space="preserve">subject to this protocol must be a licensed attorney registered with the Tehran Bar Association. The experiment will examine cases involving civil disputes, commercial litigation, and family law, as these represent the most common areas of practice in</w:t>
      </w:r>
      <w:r>
        <w:t xml:space="preserve"> </w:t>
      </w:r>
      <w:r>
        <w:rPr>
          <w:bCs/>
          <w:b/>
        </w:rPr>
        <w:t xml:space="preserve">Iran Tehran</w:t>
      </w:r>
      <w:r>
        <w:t xml:space="preserve">. The protocol acknowledges the dual nature of the legal system in Iran, requiring the</w:t>
      </w:r>
      <w:r>
        <w:t xml:space="preserve"> </w:t>
      </w:r>
      <w:r>
        <w:rPr>
          <w:bCs/>
          <w:b/>
        </w:rPr>
        <w:t xml:space="preserve">Lawyer</w:t>
      </w:r>
      <w:r>
        <w:t xml:space="preserve"> </w:t>
      </w:r>
      <w:r>
        <w:t xml:space="preserve">to demonstrate proficiency in both statutory law and Sharia principles.</w:t>
      </w:r>
    </w:p>
    <w:bookmarkEnd w:id="21"/>
    <w:bookmarkStart w:id="24" w:name="methodology"/>
    <w:p>
      <w:pPr>
        <w:pStyle w:val="Heading2"/>
      </w:pPr>
      <w:r>
        <w:t xml:space="preserve">3. Methodology</w:t>
      </w:r>
    </w:p>
    <w:bookmarkStart w:id="22" w:name="subject-selection"/>
    <w:p>
      <w:pPr>
        <w:pStyle w:val="Heading3"/>
      </w:pPr>
      <w:r>
        <w:t xml:space="preserve">3.1 Subject Selection</w:t>
      </w:r>
    </w:p>
    <w:p>
      <w:pPr>
        <w:pStyle w:val="FirstParagraph"/>
      </w:pPr>
      <w:r>
        <w:t xml:space="preserve">The</w:t>
      </w:r>
      <w:r>
        <w:t xml:space="preserve"> </w:t>
      </w:r>
      <w:r>
        <w:rPr>
          <w:bCs/>
          <w:b/>
        </w:rPr>
        <w:t xml:space="preserve">Lawyer</w:t>
      </w:r>
      <w:r>
        <w:t xml:space="preserve"> </w:t>
      </w:r>
      <w:r>
        <w:t xml:space="preserve">participating in this experiment will be selected based on a minimum of five years of continuous practice in</w:t>
      </w:r>
      <w:r>
        <w:t xml:space="preserve"> </w:t>
      </w:r>
      <w:r>
        <w:rPr>
          <w:bCs/>
          <w:b/>
        </w:rPr>
        <w:t xml:space="preserve">Iran Tehran</w:t>
      </w:r>
      <w:r>
        <w:t xml:space="preserve">. This ensures that the subject possesses sufficient experience with the local court systems and procedural nuances.</w:t>
      </w:r>
    </w:p>
    <w:bookmarkEnd w:id="22"/>
    <w:bookmarkStart w:id="23" w:name="data-collection"/>
    <w:p>
      <w:pPr>
        <w:pStyle w:val="Heading3"/>
      </w:pPr>
      <w:r>
        <w:t xml:space="preserve">3.2 Data Collection</w:t>
      </w:r>
    </w:p>
    <w:p>
      <w:pPr>
        <w:pStyle w:val="FirstParagraph"/>
      </w:pPr>
      <w:r>
        <w:t xml:space="preserve">Data will be collected through a combination of observational methods and document analysis. The</w:t>
      </w:r>
      <w:r>
        <w:t xml:space="preserve"> </w:t>
      </w:r>
      <w:r>
        <w:rPr>
          <w:bCs/>
          <w:b/>
        </w:rPr>
        <w:t xml:space="preserve">Experiment Protocol</w:t>
      </w:r>
      <w:r>
        <w:t xml:space="preserve"> </w:t>
      </w:r>
      <w:r>
        <w:t xml:space="preserve">mandates the following data points:</w:t>
      </w:r>
    </w:p>
    <w:p>
      <w:pPr>
        <w:numPr>
          <w:ilvl w:val="0"/>
          <w:numId w:val="1001"/>
        </w:numPr>
        <w:pStyle w:val="Compact"/>
      </w:pPr>
      <w:r>
        <w:rPr>
          <w:bCs/>
          <w:b/>
        </w:rPr>
        <w:t xml:space="preserve">Courtroom Observations:</w:t>
      </w:r>
      <w:r>
        <w:t xml:space="preserve"> </w:t>
      </w:r>
      <w:r>
        <w:t xml:space="preserve">Direct observation of the</w:t>
      </w:r>
      <w:r>
        <w:t xml:space="preserve"> </w:t>
      </w:r>
      <w:r>
        <w:rPr>
          <w:bCs/>
          <w:b/>
        </w:rPr>
        <w:t xml:space="preserve">Lawyer</w:t>
      </w:r>
      <w:r>
        <w:t xml:space="preserve">'s performance in Tehran courts, focusing on argumentation style, adherence to procedural rules, and interaction with judges.</w:t>
      </w:r>
    </w:p>
    <w:p>
      <w:pPr>
        <w:numPr>
          <w:ilvl w:val="0"/>
          <w:numId w:val="1001"/>
        </w:numPr>
        <w:pStyle w:val="Compact"/>
      </w:pPr>
      <w:r>
        <w:rPr>
          <w:bCs/>
          <w:b/>
        </w:rPr>
        <w:t xml:space="preserve">Case File Review:</w:t>
      </w:r>
      <w:r>
        <w:t xml:space="preserve"> </w:t>
      </w:r>
      <w:r>
        <w:t xml:space="preserve">Analysis of anonymized case files to assess the quality of legal research, drafting of pleadings, and strategic planning.</w:t>
      </w:r>
    </w:p>
    <w:p>
      <w:pPr>
        <w:numPr>
          <w:ilvl w:val="0"/>
          <w:numId w:val="1001"/>
        </w:numPr>
        <w:pStyle w:val="Compact"/>
      </w:pPr>
      <w:r>
        <w:rPr>
          <w:bCs/>
          <w:b/>
        </w:rPr>
        <w:t xml:space="preserve">Client Interaction Logs:</w:t>
      </w:r>
      <w:r>
        <w:t xml:space="preserve"> </w:t>
      </w:r>
      <w:r>
        <w:t xml:space="preserve">Recorded summaries of client meetings to evaluate communication clarity, ethical compliance, and expectation management.</w:t>
      </w:r>
    </w:p>
    <w:bookmarkEnd w:id="23"/>
    <w:bookmarkEnd w:id="24"/>
    <w:bookmarkStart w:id="28" w:name="experimental-procedures"/>
    <w:p>
      <w:pPr>
        <w:pStyle w:val="Heading2"/>
      </w:pPr>
      <w:r>
        <w:t xml:space="preserve">4. Experimental Procedures</w:t>
      </w:r>
    </w:p>
    <w:p>
      <w:pPr>
        <w:pStyle w:val="FirstParagraph"/>
      </w:pPr>
      <w:r>
        <w:t xml:space="preserve">The</w:t>
      </w:r>
      <w:r>
        <w:t xml:space="preserve"> </w:t>
      </w:r>
      <w:r>
        <w:rPr>
          <w:bCs/>
          <w:b/>
        </w:rPr>
        <w:t xml:space="preserve">Experiment Protocol</w:t>
      </w:r>
      <w:r>
        <w:t xml:space="preserve"> </w:t>
      </w:r>
      <w:r>
        <w:t xml:space="preserve">is divided into three distinct phases, each designed to test different competencies of the</w:t>
      </w:r>
      <w:r>
        <w:t xml:space="preserve"> </w:t>
      </w:r>
      <w:r>
        <w:rPr>
          <w:bCs/>
          <w:b/>
        </w:rPr>
        <w:t xml:space="preserve">Lawyer</w:t>
      </w:r>
      <w:r>
        <w:t xml:space="preserve"> </w:t>
      </w:r>
      <w:r>
        <w:t xml:space="preserve">within the context of</w:t>
      </w:r>
      <w:r>
        <w:t xml:space="preserve"> </w:t>
      </w:r>
      <w:r>
        <w:rPr>
          <w:bCs/>
          <w:b/>
        </w:rPr>
        <w:t xml:space="preserve">Iran Tehran</w:t>
      </w:r>
      <w:r>
        <w:t xml:space="preserve">.</w:t>
      </w:r>
    </w:p>
    <w:bookmarkStart w:id="25" w:name="phase-1-procedural-compliance"/>
    <w:p>
      <w:pPr>
        <w:pStyle w:val="Heading3"/>
      </w:pPr>
      <w:r>
        <w:t xml:space="preserve">Phase 1: Procedural Compliance</w:t>
      </w:r>
    </w:p>
    <w:p>
      <w:pPr>
        <w:pStyle w:val="FirstParagraph"/>
      </w:pPr>
      <w:r>
        <w:t xml:space="preserve">In this phase, the</w:t>
      </w:r>
      <w:r>
        <w:t xml:space="preserve"> </w:t>
      </w:r>
      <w:r>
        <w:rPr>
          <w:bCs/>
          <w:b/>
        </w:rPr>
        <w:t xml:space="preserve">Lawyer</w:t>
      </w:r>
      <w:r>
        <w:t xml:space="preserve"> </w:t>
      </w:r>
      <w:r>
        <w:t xml:space="preserve">will be evaluated on their ability to navigate the administrative requirements of the Tehran judicial system. This includes the timely submission of documents to the Electronic Judicial Services Portal, adherence to filing deadlines, and proper formatting of legal submissions according to the standards expected in</w:t>
      </w:r>
      <w:r>
        <w:t xml:space="preserve"> </w:t>
      </w:r>
      <w:r>
        <w:rPr>
          <w:bCs/>
          <w:b/>
        </w:rPr>
        <w:t xml:space="preserve">Iran Tehran</w:t>
      </w:r>
      <w:r>
        <w:t xml:space="preserve">.</w:t>
      </w:r>
    </w:p>
    <w:bookmarkEnd w:id="25"/>
    <w:bookmarkStart w:id="26" w:name="phase-2-legal-argumentation"/>
    <w:p>
      <w:pPr>
        <w:pStyle w:val="Heading3"/>
      </w:pPr>
      <w:r>
        <w:t xml:space="preserve">Phase 2: Legal Argumentation</w:t>
      </w:r>
    </w:p>
    <w:p>
      <w:pPr>
        <w:pStyle w:val="FirstParagraph"/>
      </w:pPr>
      <w:r>
        <w:t xml:space="preserve">The second phase focuses on the substantive legal skills of the</w:t>
      </w:r>
      <w:r>
        <w:t xml:space="preserve"> </w:t>
      </w:r>
      <w:r>
        <w:rPr>
          <w:bCs/>
          <w:b/>
        </w:rPr>
        <w:t xml:space="preserve">Lawyer</w:t>
      </w:r>
      <w:r>
        <w:t xml:space="preserve">. The subject will be required to present arguments in simulated and actual court settings. The evaluation criteria will include the accuracy of legal citations, the logical structure of arguments, and the ability to adapt legal reasoning to the specific cultural and judicial expectations of judges in</w:t>
      </w:r>
      <w:r>
        <w:t xml:space="preserve"> </w:t>
      </w:r>
      <w:r>
        <w:rPr>
          <w:bCs/>
          <w:b/>
        </w:rPr>
        <w:t xml:space="preserve">Iran Tehran</w:t>
      </w:r>
      <w:r>
        <w:t xml:space="preserve">.</w:t>
      </w:r>
    </w:p>
    <w:bookmarkEnd w:id="26"/>
    <w:bookmarkStart w:id="27" w:name="phase-3-ethical-and-cultural-competence"/>
    <w:p>
      <w:pPr>
        <w:pStyle w:val="Heading3"/>
      </w:pPr>
      <w:r>
        <w:t xml:space="preserve">Phase 3: Ethical and Cultural Competence</w:t>
      </w:r>
    </w:p>
    <w:p>
      <w:pPr>
        <w:pStyle w:val="FirstParagraph"/>
      </w:pPr>
      <w:r>
        <w:t xml:space="preserve">The final phase assesses the</w:t>
      </w:r>
      <w:r>
        <w:t xml:space="preserve"> </w:t>
      </w:r>
      <w:r>
        <w:rPr>
          <w:bCs/>
          <w:b/>
        </w:rPr>
        <w:t xml:space="preserve">Lawyer</w:t>
      </w:r>
      <w:r>
        <w:t xml:space="preserve">'s adherence to professional ethics and cultural norms. This includes maintaining client confidentiality, avoiding conflicts of interest, and demonstrating respect for the hierarchical structure of the Iranian judiciary. The</w:t>
      </w:r>
      <w:r>
        <w:t xml:space="preserve"> </w:t>
      </w:r>
      <w:r>
        <w:rPr>
          <w:bCs/>
          <w:b/>
        </w:rPr>
        <w:t xml:space="preserve">Experiment Protocol</w:t>
      </w:r>
      <w:r>
        <w:t xml:space="preserve"> </w:t>
      </w:r>
      <w:r>
        <w:t xml:space="preserve">places special emphasis on the</w:t>
      </w:r>
      <w:r>
        <w:t xml:space="preserve"> </w:t>
      </w:r>
      <w:r>
        <w:rPr>
          <w:bCs/>
          <w:b/>
        </w:rPr>
        <w:t xml:space="preserve">Lawyer</w:t>
      </w:r>
      <w:r>
        <w:t xml:space="preserve">'s ability to manage client relationships in a culturally sensitive manner, which is crucial for success in</w:t>
      </w:r>
      <w:r>
        <w:t xml:space="preserve"> </w:t>
      </w:r>
      <w:r>
        <w:rPr>
          <w:bCs/>
          <w:b/>
        </w:rPr>
        <w:t xml:space="preserve">Iran Tehran</w:t>
      </w:r>
      <w:r>
        <w:t xml:space="preserve">.</w:t>
      </w:r>
    </w:p>
    <w:bookmarkEnd w:id="27"/>
    <w:bookmarkEnd w:id="28"/>
    <w:bookmarkStart w:id="29"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established by the Tehran Bar Association and international standards for legal research. All data collected will be anonymized to protect the privacy of the</w:t>
      </w:r>
      <w:r>
        <w:t xml:space="preserve"> </w:t>
      </w:r>
      <w:r>
        <w:rPr>
          <w:bCs/>
          <w:b/>
        </w:rPr>
        <w:t xml:space="preserve">Lawyer</w:t>
      </w:r>
      <w:r>
        <w:t xml:space="preserve">, clients, and other parties involved.</w:t>
      </w:r>
    </w:p>
    <w:p>
      <w:pPr>
        <w:pStyle w:val="BodyText"/>
      </w:pPr>
      <w:r>
        <w:t xml:space="preserve">Informed consent will be obtained from the</w:t>
      </w:r>
      <w:r>
        <w:t xml:space="preserve"> </w:t>
      </w:r>
      <w:r>
        <w:rPr>
          <w:bCs/>
          <w:b/>
        </w:rPr>
        <w:t xml:space="preserve">Lawyer</w:t>
      </w:r>
      <w:r>
        <w:t xml:space="preserve"> </w:t>
      </w:r>
      <w:r>
        <w:t xml:space="preserve">prior to the commencement of the experiment. The protocol ensures that the observation process does not interfere with the</w:t>
      </w:r>
      <w:r>
        <w:t xml:space="preserve"> </w:t>
      </w:r>
      <w:r>
        <w:rPr>
          <w:bCs/>
          <w:b/>
        </w:rPr>
        <w:t xml:space="preserve">Lawyer</w:t>
      </w:r>
      <w:r>
        <w:t xml:space="preserve">'s ability to provide competent legal representation or violate any confidentiality obligations. Special care will be taken to ensure that the experiment respects the legal and cultural sensitivities of</w:t>
      </w:r>
      <w:r>
        <w:t xml:space="preserve"> </w:t>
      </w:r>
      <w:r>
        <w:rPr>
          <w:bCs/>
          <w:b/>
        </w:rPr>
        <w:t xml:space="preserve">Iran Tehran</w:t>
      </w:r>
      <w:r>
        <w:t xml:space="preserve">.</w:t>
      </w:r>
    </w:p>
    <w:bookmarkEnd w:id="29"/>
    <w:bookmarkStart w:id="30" w:name="data-analysis-and-reporting"/>
    <w:p>
      <w:pPr>
        <w:pStyle w:val="Heading2"/>
      </w:pPr>
      <w:r>
        <w:t xml:space="preserve">6. Data Analysis and Reporting</w:t>
      </w:r>
    </w:p>
    <w:p>
      <w:pPr>
        <w:pStyle w:val="FirstParagraph"/>
      </w:pPr>
      <w:r>
        <w:t xml:space="preserve">Upon completion of the three phases, the data will be analyzed using both qualitative and quantitative methods. The</w:t>
      </w:r>
      <w:r>
        <w:t xml:space="preserve"> </w:t>
      </w:r>
      <w:r>
        <w:rPr>
          <w:bCs/>
          <w:b/>
        </w:rPr>
        <w:t xml:space="preserve">Experiment Protocol</w:t>
      </w:r>
      <w:r>
        <w:t xml:space="preserve"> </w:t>
      </w:r>
      <w:r>
        <w:t xml:space="preserve">requires the preparation of a detailed report that highlights the strengths and weaknesses of the</w:t>
      </w:r>
      <w:r>
        <w:t xml:space="preserve"> </w:t>
      </w:r>
      <w:r>
        <w:rPr>
          <w:bCs/>
          <w:b/>
        </w:rPr>
        <w:t xml:space="preserve">Lawyer</w:t>
      </w:r>
      <w:r>
        <w:t xml:space="preserve">'s practice.</w:t>
      </w:r>
    </w:p>
    <w:p>
      <w:pPr>
        <w:pStyle w:val="BodyText"/>
      </w:pPr>
      <w:r>
        <w:t xml:space="preserve">The report will include specific recommendations for improving legal practice in</w:t>
      </w:r>
      <w:r>
        <w:t xml:space="preserve"> </w:t>
      </w:r>
      <w:r>
        <w:rPr>
          <w:bCs/>
          <w:b/>
        </w:rPr>
        <w:t xml:space="preserve">Iran Tehran</w:t>
      </w:r>
      <w:r>
        <w:t xml:space="preserve">, focusing on areas such as procedural efficiency, argumentation techniques, and client communication. The findings will be presented in a manner that is accessible to legal professionals, policymakers, and academic researchers interested in the legal landscape of</w:t>
      </w:r>
      <w:r>
        <w:t xml:space="preserve"> </w:t>
      </w:r>
      <w:r>
        <w:rPr>
          <w:bCs/>
          <w:b/>
        </w:rPr>
        <w:t xml:space="preserve">Iran Tehran</w:t>
      </w:r>
      <w:r>
        <w:t xml:space="preserv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evaluating the practice of a</w:t>
      </w:r>
      <w:r>
        <w:t xml:space="preserve"> </w:t>
      </w:r>
      <w:r>
        <w:rPr>
          <w:bCs/>
          <w:b/>
        </w:rPr>
        <w:t xml:space="preserve">Lawyer</w:t>
      </w:r>
      <w:r>
        <w:t xml:space="preserve"> </w:t>
      </w:r>
      <w:r>
        <w:t xml:space="preserve">in</w:t>
      </w:r>
      <w:r>
        <w:t xml:space="preserve"> </w:t>
      </w:r>
      <w:r>
        <w:rPr>
          <w:bCs/>
          <w:b/>
        </w:rPr>
        <w:t xml:space="preserve">Iran Tehran</w:t>
      </w:r>
      <w:r>
        <w:t xml:space="preserve">. By systematically assessing procedural compliance, legal argumentation, and ethical competence, the protocol aims to contribute to the improvement of legal services in the region. The insights gained from this experiment will be valuable for enhancing the professionalism and effectiveness of legal practice in</w:t>
      </w:r>
      <w:r>
        <w:t xml:space="preserve"> </w:t>
      </w:r>
      <w:r>
        <w:rPr>
          <w:bCs/>
          <w:b/>
        </w:rPr>
        <w:t xml:space="preserve">Iran Tehran</w:t>
      </w:r>
      <w:r>
        <w:t xml:space="preserve">, ultimately benefiting clients and the justice system as a whole.</w:t>
      </w:r>
    </w:p>
    <w:bookmarkEnd w:id="31"/>
    <w:p>
      <w:pPr>
        <w:pStyle w:val="BodyText"/>
      </w:pPr>
      <w:r>
        <w:t xml:space="preserve">Document Version: 1.0 | Date: October 2023 | Prepared for Legal Research Purposes in Iran Tehran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Iran Tehran</dc:title>
  <dc:creator/>
  <dc:language>en</dc:language>
  <cp:keywords/>
  <dcterms:created xsi:type="dcterms:W3CDTF">2026-10-10T06:54:04Z</dcterms:created>
  <dcterms:modified xsi:type="dcterms:W3CDTF">2026-10-10T06:54:04Z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