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31" w:name="X954e4718dc133cbbde9bf952e0b1032f416bccb"/>
    <w:p>
      <w:pPr>
        <w:pStyle w:val="Heading1"/>
      </w:pPr>
      <w:r>
        <w:t xml:space="preserve">Experiment Protocol: Legal Practice in Israel Jerusalem</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role and effectiveness of a Lawyer operating within the unique legal and cultural environment of Israel Jerusalem. Jerusalem is a city of profound legal complexity, serving as the seat of Israel's Supreme Court, the High Court of Justice, and various religious courts. The legal landscape here is shaped by a blend of statutory law, common law principles, and religious jurisprudence.</w:t>
      </w:r>
    </w:p>
    <w:p>
      <w:pPr>
        <w:pStyle w:val="BodyText"/>
      </w:pPr>
      <w:r>
        <w:t xml:space="preserve">The purpose of this experiment is to evaluate how a Lawyer navigates these complexities, particularly in cases involving civil rights, property disputes, and family law. The study will focus on the practical application of legal strategies, client interactions, and the influence of local socio-political dynamics on legal outcomes.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effectiveness of a Lawyer in handling cases within the jurisdiction of Israel Jerusalem.</w:t>
      </w:r>
    </w:p>
    <w:p>
      <w:pPr>
        <w:numPr>
          <w:ilvl w:val="0"/>
          <w:numId w:val="1001"/>
        </w:numPr>
        <w:pStyle w:val="Compact"/>
      </w:pPr>
      <w:r>
        <w:t xml:space="preserve">To analyze the impact of Jerusalem's unique legal framework on case outcomes.</w:t>
      </w:r>
    </w:p>
    <w:p>
      <w:pPr>
        <w:numPr>
          <w:ilvl w:val="0"/>
          <w:numId w:val="1001"/>
        </w:numPr>
        <w:pStyle w:val="Compact"/>
      </w:pPr>
      <w:r>
        <w:t xml:space="preserve">To evaluate the Lawyer's ability to adapt to cultural and religious considerations in legal practice.</w:t>
      </w:r>
    </w:p>
    <w:p>
      <w:pPr>
        <w:numPr>
          <w:ilvl w:val="0"/>
          <w:numId w:val="1001"/>
        </w:numPr>
        <w:pStyle w:val="Compact"/>
      </w:pPr>
      <w:r>
        <w:t xml:space="preserve">To identify best practices for legal representation in a multi-jurisdictional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analysis of case outcomes with qualitative interviews and observations. The study will be conducted over a period of 12 months, allowing for a comprehensive assessment of legal practices in Israel Jerusalem.</w:t>
      </w:r>
    </w:p>
    <w:bookmarkEnd w:id="22"/>
    <w:bookmarkStart w:id="23" w:name="participants"/>
    <w:p>
      <w:pPr>
        <w:pStyle w:val="Heading3"/>
      </w:pPr>
      <w:r>
        <w:t xml:space="preserve">3.2 Participants</w:t>
      </w:r>
    </w:p>
    <w:p>
      <w:pPr>
        <w:pStyle w:val="FirstParagraph"/>
      </w:pPr>
      <w:r>
        <w:t xml:space="preserve">The study will involve a sample of 50 Lawyers practicing in Israel Jerusalem, representing a diverse range of legal specialties, including civil law, criminal law, family law, and administrative law. Participants will be selected based on their experience level, case volume, and geographic location within the city.</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Case File Analysis:</w:t>
      </w:r>
      <w:r>
        <w:t xml:space="preserve"> </w:t>
      </w:r>
      <w:r>
        <w:t xml:space="preserve">Review of anonymized case files to assess legal strategies, procedural compliance, and outcomes.</w:t>
      </w:r>
    </w:p>
    <w:p>
      <w:pPr>
        <w:numPr>
          <w:ilvl w:val="0"/>
          <w:numId w:val="1002"/>
        </w:numPr>
        <w:pStyle w:val="Compact"/>
      </w:pPr>
      <w:r>
        <w:rPr>
          <w:bCs/>
          <w:b/>
        </w:rPr>
        <w:t xml:space="preserve">Interviews:</w:t>
      </w:r>
      <w:r>
        <w:t xml:space="preserve"> </w:t>
      </w:r>
      <w:r>
        <w:t xml:space="preserve">Semi-structured interviews with Lawyers, clients, and court officials to gather insights on challenges and successes.</w:t>
      </w:r>
    </w:p>
    <w:p>
      <w:pPr>
        <w:numPr>
          <w:ilvl w:val="0"/>
          <w:numId w:val="1002"/>
        </w:numPr>
        <w:pStyle w:val="Compact"/>
      </w:pPr>
      <w:r>
        <w:rPr>
          <w:bCs/>
          <w:b/>
        </w:rPr>
        <w:t xml:space="preserve">Observations:</w:t>
      </w:r>
      <w:r>
        <w:t xml:space="preserve"> </w:t>
      </w:r>
      <w:r>
        <w:t xml:space="preserve">Direct observation of court proceedings and client consultations to evaluate communication skills and courtroom performance.</w:t>
      </w:r>
    </w:p>
    <w:p>
      <w:pPr>
        <w:numPr>
          <w:ilvl w:val="0"/>
          <w:numId w:val="1002"/>
        </w:numPr>
        <w:pStyle w:val="Compact"/>
      </w:pPr>
      <w:r>
        <w:rPr>
          <w:bCs/>
          <w:b/>
        </w:rPr>
        <w:t xml:space="preserve">Surveys:</w:t>
      </w:r>
      <w:r>
        <w:t xml:space="preserve"> </w:t>
      </w:r>
      <w:r>
        <w:t xml:space="preserve">Distribution of surveys to measure client satisfaction and Lawyer self-assessment of performance.</w:t>
      </w:r>
    </w:p>
    <w:bookmarkEnd w:id="24"/>
    <w:bookmarkEnd w:id="25"/>
    <w:bookmarkStart w:id="26" w:name="variables"/>
    <w:p>
      <w:pPr>
        <w:pStyle w:val="Heading2"/>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Lawyer's experience, specialization, and approach to case management.</w:t>
            </w:r>
          </w:p>
        </w:tc>
      </w:tr>
      <w:tr>
        <w:tc>
          <w:tcPr/>
          <w:p>
            <w:pPr>
              <w:pStyle w:val="Compact"/>
              <w:jc w:val="left"/>
            </w:pPr>
            <w:r>
              <w:t xml:space="preserve">Dependent Variables</w:t>
            </w:r>
          </w:p>
        </w:tc>
        <w:tc>
          <w:tcPr/>
          <w:p>
            <w:pPr>
              <w:pStyle w:val="Compact"/>
              <w:jc w:val="left"/>
            </w:pPr>
            <w:r>
              <w:t xml:space="preserve">Case outcomes, client satisfaction, and efficiency of legal processes.</w:t>
            </w:r>
          </w:p>
        </w:tc>
      </w:tr>
      <w:tr>
        <w:tc>
          <w:tcPr/>
          <w:p>
            <w:pPr>
              <w:pStyle w:val="Compact"/>
              <w:jc w:val="left"/>
            </w:pPr>
            <w:r>
              <w:t xml:space="preserve">Control Variables</w:t>
            </w:r>
          </w:p>
        </w:tc>
        <w:tc>
          <w:tcPr/>
          <w:p>
            <w:pPr>
              <w:pStyle w:val="Compact"/>
              <w:jc w:val="left"/>
            </w:pPr>
            <w:r>
              <w:t xml:space="preserve">Type of case, court jurisdiction, and applicable laws in Israel Jerusalem.</w:t>
            </w:r>
          </w:p>
        </w:tc>
      </w:tr>
    </w:tbl>
    <w:bookmarkEnd w:id="26"/>
    <w:bookmarkStart w:id="27" w:name="ethical-considerations"/>
    <w:p>
      <w:pPr>
        <w:pStyle w:val="Heading2"/>
      </w:pPr>
      <w:r>
        <w:t xml:space="preserve">5. Ethical Considerations</w:t>
      </w:r>
    </w:p>
    <w:p>
      <w:pPr>
        <w:pStyle w:val="FirstParagraph"/>
      </w:pPr>
      <w:r>
        <w:t xml:space="preserve">This Experiment Protocol adheres to strict ethical guidelines to protect the rights and privacy of all participants. Key considerations include:</w:t>
      </w:r>
    </w:p>
    <w:p>
      <w:pPr>
        <w:numPr>
          <w:ilvl w:val="0"/>
          <w:numId w:val="1003"/>
        </w:numPr>
        <w:pStyle w:val="Compact"/>
      </w:pPr>
      <w:r>
        <w:rPr>
          <w:bCs/>
          <w:b/>
        </w:rPr>
        <w:t xml:space="preserve">Informed Consent:</w:t>
      </w:r>
      <w:r>
        <w:t xml:space="preserve"> </w:t>
      </w:r>
      <w:r>
        <w:t xml:space="preserve">All participants will provide written consent after being fully informed of the study's purpose and procedures.</w:t>
      </w:r>
    </w:p>
    <w:p>
      <w:pPr>
        <w:numPr>
          <w:ilvl w:val="0"/>
          <w:numId w:val="1003"/>
        </w:numPr>
        <w:pStyle w:val="Compact"/>
      </w:pPr>
      <w:r>
        <w:rPr>
          <w:bCs/>
          <w:b/>
        </w:rPr>
        <w:t xml:space="preserve">Confidentiality:</w:t>
      </w:r>
      <w:r>
        <w:t xml:space="preserve"> </w:t>
      </w:r>
      <w:r>
        <w:t xml:space="preserve">Personal and case-related information will be anonymized and stored securely.</w:t>
      </w:r>
    </w:p>
    <w:p>
      <w:pPr>
        <w:numPr>
          <w:ilvl w:val="0"/>
          <w:numId w:val="1003"/>
        </w:numPr>
        <w:pStyle w:val="Compact"/>
      </w:pPr>
      <w:r>
        <w:rPr>
          <w:bCs/>
          <w:b/>
        </w:rPr>
        <w:t xml:space="preserve">Non-Interference:</w:t>
      </w:r>
      <w:r>
        <w:t xml:space="preserve"> </w:t>
      </w:r>
      <w:r>
        <w:t xml:space="preserve">The study will not interfere with ongoing legal proceedings or the Lawyer-client relationship.</w:t>
      </w:r>
    </w:p>
    <w:p>
      <w:pPr>
        <w:numPr>
          <w:ilvl w:val="0"/>
          <w:numId w:val="1003"/>
        </w:numPr>
        <w:pStyle w:val="Compact"/>
      </w:pPr>
      <w:r>
        <w:rPr>
          <w:bCs/>
          <w:b/>
        </w:rPr>
        <w:t xml:space="preserve">Compliance:</w:t>
      </w:r>
      <w:r>
        <w:t xml:space="preserve"> </w:t>
      </w:r>
      <w:r>
        <w:t xml:space="preserve">The research will comply with Israeli laws and regulations governing legal practice and data protection.</w:t>
      </w:r>
    </w:p>
    <w:bookmarkEnd w:id="27"/>
    <w:bookmarkStart w:id="28" w:name="data-analysis"/>
    <w:p>
      <w:pPr>
        <w:pStyle w:val="Heading2"/>
      </w:pPr>
      <w:r>
        <w:t xml:space="preserve">6. Data Analysis</w:t>
      </w:r>
    </w:p>
    <w:p>
      <w:pPr>
        <w:pStyle w:val="FirstParagraph"/>
      </w:pPr>
      <w:r>
        <w:t xml:space="preserve">Quantitative data will be analyzed using statistical software to identify patterns and correlations between Lawyer characteristics and case outcomes. Qualitative data will be coded and thematically analyzed to extract insights on the challenges and strategies employed by Lawyers in Israel Jerusalem. The results will be triangulated to ensure validity and reliability.</w:t>
      </w:r>
    </w:p>
    <w:bookmarkEnd w:id="28"/>
    <w:bookmarkStart w:id="29" w:name="expected-outcomes"/>
    <w:p>
      <w:pPr>
        <w:pStyle w:val="Heading2"/>
      </w:pPr>
      <w:r>
        <w:t xml:space="preserve">7. Expected Outcomes</w:t>
      </w:r>
    </w:p>
    <w:p>
      <w:pPr>
        <w:pStyle w:val="FirstParagraph"/>
      </w:pPr>
      <w:r>
        <w:t xml:space="preserve">This Experiment Protocol anticipates the following outcomes:</w:t>
      </w:r>
    </w:p>
    <w:p>
      <w:pPr>
        <w:numPr>
          <w:ilvl w:val="0"/>
          <w:numId w:val="1004"/>
        </w:numPr>
        <w:pStyle w:val="Compact"/>
      </w:pPr>
      <w:r>
        <w:t xml:space="preserve">A comprehensive understanding of the factors influencing legal practice in Israel Jerusalem.</w:t>
      </w:r>
    </w:p>
    <w:p>
      <w:pPr>
        <w:numPr>
          <w:ilvl w:val="0"/>
          <w:numId w:val="1004"/>
        </w:numPr>
        <w:pStyle w:val="Compact"/>
      </w:pPr>
      <w:r>
        <w:t xml:space="preserve">Identification of effective strategies for Lawyers operating in a complex legal environment.</w:t>
      </w:r>
    </w:p>
    <w:p>
      <w:pPr>
        <w:numPr>
          <w:ilvl w:val="0"/>
          <w:numId w:val="1004"/>
        </w:numPr>
        <w:pStyle w:val="Compact"/>
      </w:pPr>
      <w:r>
        <w:t xml:space="preserve">Recommendations for improving legal education and professional development for Lawyers in the region.</w:t>
      </w:r>
    </w:p>
    <w:p>
      <w:pPr>
        <w:numPr>
          <w:ilvl w:val="0"/>
          <w:numId w:val="1004"/>
        </w:numPr>
        <w:pStyle w:val="Compact"/>
      </w:pPr>
      <w:r>
        <w:t xml:space="preserve">Contributions to the broader discourse on legal practice in multi-jurisdictional settings.</w:t>
      </w:r>
    </w:p>
    <w:bookmarkEnd w:id="29"/>
    <w:bookmarkStart w:id="30" w:name="conclusion"/>
    <w:p>
      <w:pPr>
        <w:pStyle w:val="Heading2"/>
      </w:pPr>
      <w:r>
        <w:t xml:space="preserve">8. Conclusion</w:t>
      </w:r>
    </w:p>
    <w:p>
      <w:pPr>
        <w:pStyle w:val="FirstParagraph"/>
      </w:pPr>
      <w:r>
        <w:t xml:space="preserve">This Experiment Protocol provides a structured framework for studying the role of a Lawyer in Israel Jerusalem. By examining the interplay between legal expertise, cultural context, and institutional dynamics, the study aims to generate valuable insights that can enhance legal practice and policy in this unique jurisdiction. The findings will be disseminated through academic publications, professional workshops, and policy briefs to ensure their impact on the legal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Israel Jerusalem</dc:title>
  <dc:creator/>
  <dc:language>en</dc:language>
  <cp:keywords/>
  <dcterms:created xsi:type="dcterms:W3CDTF">2026-10-10T04:32:40Z</dcterms:created>
  <dcterms:modified xsi:type="dcterms:W3CDTF">2026-10-10T04:32:40Z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