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a56a7ea25e0afa738f155717c343c962aeec890"/>
    <w:p>
      <w:pPr>
        <w:pStyle w:val="Heading1"/>
      </w:pPr>
      <w:r>
        <w:t xml:space="preserve">Experiment Protocol: Legal Practice in Israel Tel Aviv</w:t>
      </w:r>
    </w:p>
    <w:p>
      <w:pPr>
        <w:pStyle w:val="FirstParagraph"/>
      </w:pPr>
      <w:r>
        <w:rPr>
          <w:bCs/>
          <w:b/>
        </w:rPr>
        <w:t xml:space="preserve">Document ID:</w:t>
      </w:r>
      <w:r>
        <w:t xml:space="preserve"> </w:t>
      </w:r>
      <w:r>
        <w:t xml:space="preserve">EP-LAW-TLV-2024-001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Tel Aviv, Israel</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a comprehensive study on the practice of law within the jurisdiction of Israel, specifically focusing on the metropolitan area of Tel Aviv. The primary objective is to analyze the operational dynamics, ethical considerations, and technological integration of legal professionals in one of the most vibrant legal markets in the Middle East.</w:t>
      </w:r>
    </w:p>
    <w:p>
      <w:pPr>
        <w:pStyle w:val="BodyText"/>
      </w:pPr>
      <w:r>
        <w:t xml:space="preserve">Tel Aviv serves as the epicenter of Israel's legal industry, hosting numerous law firms, corporate legal departments, and legal tech startups. This protocol aims to provide a structured approach to understanding how lawyers in this region navigate complex legal frameworks, client expectations, and regulatory requirements.</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the efficiency of legal processes in Tel Aviv-based law firms.</w:t>
      </w:r>
    </w:p>
    <w:p>
      <w:pPr>
        <w:numPr>
          <w:ilvl w:val="0"/>
          <w:numId w:val="1001"/>
        </w:numPr>
        <w:pStyle w:val="Compact"/>
      </w:pPr>
      <w:r>
        <w:t xml:space="preserve">To assess the impact of recent legislative changes in Israel on legal practice.</w:t>
      </w:r>
    </w:p>
    <w:p>
      <w:pPr>
        <w:numPr>
          <w:ilvl w:val="0"/>
          <w:numId w:val="1001"/>
        </w:numPr>
        <w:pStyle w:val="Compact"/>
      </w:pPr>
      <w:r>
        <w:t xml:space="preserve">To explore the adoption of legal technology by lawyers in Tel Aviv.</w:t>
      </w:r>
    </w:p>
    <w:p>
      <w:pPr>
        <w:numPr>
          <w:ilvl w:val="0"/>
          <w:numId w:val="1001"/>
        </w:numPr>
        <w:pStyle w:val="Compact"/>
      </w:pPr>
      <w:r>
        <w:t xml:space="preserve">To identify challenges faced by legal professionals in the Israeli legal system.</w:t>
      </w:r>
    </w:p>
    <w:p>
      <w:pPr>
        <w:numPr>
          <w:ilvl w:val="0"/>
          <w:numId w:val="1001"/>
        </w:numPr>
        <w:pStyle w:val="Compact"/>
      </w:pPr>
      <w:r>
        <w:t xml:space="preserve">To propose recommendations for improving legal service delivery in the region.</w:t>
      </w:r>
    </w:p>
    <w:bookmarkEnd w:id="22"/>
    <w:bookmarkStart w:id="23" w:name="scope"/>
    <w:p>
      <w:pPr>
        <w:pStyle w:val="Heading2"/>
      </w:pPr>
      <w:r>
        <w:t xml:space="preserve">3. Scope</w:t>
      </w:r>
    </w:p>
    <w:p>
      <w:pPr>
        <w:pStyle w:val="FirstParagraph"/>
      </w:pPr>
      <w:r>
        <w:t xml:space="preserve">This experiment will focus on:</w:t>
      </w:r>
    </w:p>
    <w:p>
      <w:pPr>
        <w:numPr>
          <w:ilvl w:val="0"/>
          <w:numId w:val="1002"/>
        </w:numPr>
        <w:pStyle w:val="Compact"/>
      </w:pPr>
      <w:r>
        <w:t xml:space="preserve">Lawyers practicing in Tel Aviv, including those in private practice, corporate roles, and public sector positions.</w:t>
      </w:r>
    </w:p>
    <w:p>
      <w:pPr>
        <w:numPr>
          <w:ilvl w:val="0"/>
          <w:numId w:val="1002"/>
        </w:numPr>
        <w:pStyle w:val="Compact"/>
      </w:pPr>
      <w:r>
        <w:t xml:space="preserve">Legal areas such as corporate law, intellectual property, litigation, and family law.</w:t>
      </w:r>
    </w:p>
    <w:p>
      <w:pPr>
        <w:numPr>
          <w:ilvl w:val="0"/>
          <w:numId w:val="1002"/>
        </w:numPr>
        <w:pStyle w:val="Compact"/>
      </w:pPr>
      <w:r>
        <w:t xml:space="preserve">Interactions between lawyers, clients, courts, and regulatory bodies in Israel.</w:t>
      </w:r>
    </w:p>
    <w:p>
      <w:pPr>
        <w:pStyle w:val="FirstParagraph"/>
      </w:pPr>
      <w:r>
        <w:t xml:space="preserve">The study will not cover legal practices outside of Tel Aviv or non-legal professions.</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Online questionnaires distributed to lawyers in Tel Aviv to gather quantitative data on their practices and challenges.</w:t>
      </w:r>
    </w:p>
    <w:p>
      <w:pPr>
        <w:numPr>
          <w:ilvl w:val="0"/>
          <w:numId w:val="1003"/>
        </w:numPr>
        <w:pStyle w:val="Compact"/>
      </w:pPr>
      <w:r>
        <w:rPr>
          <w:bCs/>
          <w:b/>
        </w:rPr>
        <w:t xml:space="preserve">Interviews:</w:t>
      </w:r>
      <w:r>
        <w:t xml:space="preserve"> </w:t>
      </w:r>
      <w:r>
        <w:t xml:space="preserve">In-depth interviews with senior partners, junior associates, and legal tech experts to gain qualitative insights.</w:t>
      </w:r>
    </w:p>
    <w:p>
      <w:pPr>
        <w:numPr>
          <w:ilvl w:val="0"/>
          <w:numId w:val="1003"/>
        </w:numPr>
        <w:pStyle w:val="Compact"/>
      </w:pPr>
      <w:r>
        <w:rPr>
          <w:bCs/>
          <w:b/>
        </w:rPr>
        <w:t xml:space="preserve">Case Studies:</w:t>
      </w:r>
      <w:r>
        <w:t xml:space="preserve"> </w:t>
      </w:r>
      <w:r>
        <w:t xml:space="preserve">Analysis of specific legal cases handled by Tel Aviv-based firms to understand procedural efficiencies.</w:t>
      </w:r>
    </w:p>
    <w:p>
      <w:pPr>
        <w:numPr>
          <w:ilvl w:val="0"/>
          <w:numId w:val="1003"/>
        </w:numPr>
        <w:pStyle w:val="Compact"/>
      </w:pPr>
      <w:r>
        <w:rPr>
          <w:bCs/>
          <w:b/>
        </w:rPr>
        <w:t xml:space="preserve">Observation:</w:t>
      </w:r>
      <w:r>
        <w:t xml:space="preserve"> </w:t>
      </w:r>
      <w:r>
        <w:t xml:space="preserve">Direct observation of court proceedings and client consultations in Tel Aviv.</w:t>
      </w:r>
    </w:p>
    <w:bookmarkEnd w:id="24"/>
    <w:bookmarkStart w:id="25" w:name="sample-selection"/>
    <w:p>
      <w:pPr>
        <w:pStyle w:val="Heading3"/>
      </w:pPr>
      <w:r>
        <w:t xml:space="preserve">4.2 Sample Selection</w:t>
      </w:r>
    </w:p>
    <w:p>
      <w:pPr>
        <w:pStyle w:val="FirstParagraph"/>
      </w:pPr>
      <w:r>
        <w:t xml:space="preserve">The sample will include:</w:t>
      </w:r>
    </w:p>
    <w:p>
      <w:pPr>
        <w:numPr>
          <w:ilvl w:val="0"/>
          <w:numId w:val="1004"/>
        </w:numPr>
        <w:pStyle w:val="Compact"/>
      </w:pPr>
      <w:r>
        <w:t xml:space="preserve">At least 100 lawyers from various firms in Tel Aviv.</w:t>
      </w:r>
    </w:p>
    <w:p>
      <w:pPr>
        <w:numPr>
          <w:ilvl w:val="0"/>
          <w:numId w:val="1004"/>
        </w:numPr>
        <w:pStyle w:val="Compact"/>
      </w:pPr>
      <w:r>
        <w:t xml:space="preserve">Representation from different practice areas and experience levels.</w:t>
      </w:r>
    </w:p>
    <w:p>
      <w:pPr>
        <w:numPr>
          <w:ilvl w:val="0"/>
          <w:numId w:val="1004"/>
        </w:numPr>
        <w:pStyle w:val="Compact"/>
      </w:pPr>
      <w:r>
        <w:t xml:space="preserve">Inclusion of both Hebrew-speaking and English-speaking legal professionals.</w:t>
      </w:r>
    </w:p>
    <w:bookmarkEnd w:id="25"/>
    <w:bookmarkStart w:id="26" w:name="tools-and-technologies"/>
    <w:p>
      <w:pPr>
        <w:pStyle w:val="Heading3"/>
      </w:pPr>
      <w:r>
        <w:t xml:space="preserve">4.3 Tools and Technologies</w:t>
      </w:r>
    </w:p>
    <w:p>
      <w:pPr>
        <w:pStyle w:val="FirstParagraph"/>
      </w:pPr>
      <w:r>
        <w:t xml:space="preserve">The following tools will be used:</w:t>
      </w:r>
    </w:p>
    <w:p>
      <w:pPr>
        <w:numPr>
          <w:ilvl w:val="0"/>
          <w:numId w:val="1005"/>
        </w:numPr>
        <w:pStyle w:val="Compact"/>
      </w:pPr>
      <w:r>
        <w:t xml:space="preserve">Survey platforms for data collection.</w:t>
      </w:r>
    </w:p>
    <w:p>
      <w:pPr>
        <w:numPr>
          <w:ilvl w:val="0"/>
          <w:numId w:val="1005"/>
        </w:numPr>
        <w:pStyle w:val="Compact"/>
      </w:pPr>
      <w:r>
        <w:t xml:space="preserve">Statistical software for data analysis.</w:t>
      </w:r>
    </w:p>
    <w:p>
      <w:pPr>
        <w:numPr>
          <w:ilvl w:val="0"/>
          <w:numId w:val="1005"/>
        </w:numPr>
        <w:pStyle w:val="Compact"/>
      </w:pPr>
      <w:r>
        <w:t xml:space="preserve">Recording devices for interviews and observations (with consent).</w:t>
      </w:r>
    </w:p>
    <w:bookmarkEnd w:id="26"/>
    <w:bookmarkEnd w:id="27"/>
    <w:bookmarkStart w:id="28" w:name="ethical-considerations"/>
    <w:p>
      <w:pPr>
        <w:pStyle w:val="Heading2"/>
      </w:pPr>
      <w:r>
        <w:t xml:space="preserve">5. Ethical Considerations</w:t>
      </w:r>
    </w:p>
    <w:p>
      <w:pPr>
        <w:pStyle w:val="FirstParagraph"/>
      </w:pPr>
      <w:r>
        <w:t xml:space="preserve">This experiment adheres to the highest ethical standards:</w:t>
      </w:r>
    </w:p>
    <w:p>
      <w:pPr>
        <w:numPr>
          <w:ilvl w:val="0"/>
          <w:numId w:val="1006"/>
        </w:numPr>
        <w:pStyle w:val="Compact"/>
      </w:pPr>
      <w:r>
        <w:rPr>
          <w:bCs/>
          <w:b/>
        </w:rPr>
        <w:t xml:space="preserve">Informed Consent:</w:t>
      </w:r>
      <w:r>
        <w:t xml:space="preserve"> </w:t>
      </w:r>
      <w:r>
        <w:t xml:space="preserve">All participants will provide written consent before participating.</w:t>
      </w:r>
    </w:p>
    <w:p>
      <w:pPr>
        <w:numPr>
          <w:ilvl w:val="0"/>
          <w:numId w:val="1006"/>
        </w:numPr>
        <w:pStyle w:val="Compact"/>
      </w:pPr>
      <w:r>
        <w:rPr>
          <w:bCs/>
          <w:b/>
        </w:rPr>
        <w:t xml:space="preserve">Confidentiality:</w:t>
      </w:r>
      <w:r>
        <w:t xml:space="preserve"> </w:t>
      </w:r>
      <w:r>
        <w:t xml:space="preserve">Personal and sensitive information will be anonymized and securely stored.</w:t>
      </w:r>
    </w:p>
    <w:p>
      <w:pPr>
        <w:numPr>
          <w:ilvl w:val="0"/>
          <w:numId w:val="1006"/>
        </w:numPr>
        <w:pStyle w:val="Compact"/>
      </w:pPr>
      <w:r>
        <w:rPr>
          <w:bCs/>
          <w:b/>
        </w:rPr>
        <w:t xml:space="preserve">Compliance:</w:t>
      </w:r>
      <w:r>
        <w:t xml:space="preserve"> </w:t>
      </w:r>
      <w:r>
        <w:t xml:space="preserve">The study will comply with Israeli data protection laws and professional ethics guidelines.</w:t>
      </w:r>
    </w:p>
    <w:bookmarkEnd w:id="28"/>
    <w:bookmarkStart w:id="29" w:name="timeline"/>
    <w:p>
      <w:pPr>
        <w:pStyle w:val="Heading2"/>
      </w:pPr>
      <w:r>
        <w:t xml:space="preserve">6. Timeline</w:t>
      </w:r>
    </w:p>
    <w:p>
      <w:pPr>
        <w:pStyle w:val="FirstParagraph"/>
      </w:pPr>
      <w:r>
        <w:t xml:space="preserve">The experiment will be conducted over a period of six months:</w:t>
      </w:r>
    </w:p>
    <w:p>
      <w:pPr>
        <w:numPr>
          <w:ilvl w:val="0"/>
          <w:numId w:val="1007"/>
        </w:numPr>
        <w:pStyle w:val="Compact"/>
      </w:pPr>
      <w:r>
        <w:rPr>
          <w:bCs/>
          <w:b/>
        </w:rPr>
        <w:t xml:space="preserve">Month 1:</w:t>
      </w:r>
      <w:r>
        <w:t xml:space="preserve"> </w:t>
      </w:r>
      <w:r>
        <w:t xml:space="preserve">Preparation and approval of the protocol.</w:t>
      </w:r>
    </w:p>
    <w:p>
      <w:pPr>
        <w:numPr>
          <w:ilvl w:val="0"/>
          <w:numId w:val="1007"/>
        </w:numPr>
        <w:pStyle w:val="Compact"/>
      </w:pPr>
      <w:r>
        <w:rPr>
          <w:bCs/>
          <w:b/>
        </w:rPr>
        <w:t xml:space="preserve">Months 2-3:</w:t>
      </w:r>
      <w:r>
        <w:t xml:space="preserve"> </w:t>
      </w:r>
      <w:r>
        <w:t xml:space="preserve">Data collection through surveys and interviews.</w:t>
      </w:r>
    </w:p>
    <w:p>
      <w:pPr>
        <w:numPr>
          <w:ilvl w:val="0"/>
          <w:numId w:val="1007"/>
        </w:numPr>
        <w:pStyle w:val="Compact"/>
      </w:pPr>
      <w:r>
        <w:rPr>
          <w:bCs/>
          <w:b/>
        </w:rPr>
        <w:t xml:space="preserve">Months 4-5:</w:t>
      </w:r>
      <w:r>
        <w:t xml:space="preserve"> </w:t>
      </w:r>
      <w:r>
        <w:t xml:space="preserve">Data analysis and case study reviews.</w:t>
      </w:r>
    </w:p>
    <w:p>
      <w:pPr>
        <w:numPr>
          <w:ilvl w:val="0"/>
          <w:numId w:val="1007"/>
        </w:numPr>
        <w:pStyle w:val="Compact"/>
      </w:pPr>
      <w:r>
        <w:rPr>
          <w:bCs/>
          <w:b/>
        </w:rPr>
        <w:t xml:space="preserve">Month 6:</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detailed report on the current state of legal practice in Tel Aviv.</w:t>
      </w:r>
    </w:p>
    <w:p>
      <w:pPr>
        <w:numPr>
          <w:ilvl w:val="0"/>
          <w:numId w:val="1008"/>
        </w:numPr>
        <w:pStyle w:val="Compact"/>
      </w:pPr>
      <w:r>
        <w:t xml:space="preserve">Identification of best practices and areas for improvement.</w:t>
      </w:r>
    </w:p>
    <w:p>
      <w:pPr>
        <w:numPr>
          <w:ilvl w:val="0"/>
          <w:numId w:val="1008"/>
        </w:numPr>
        <w:pStyle w:val="Compact"/>
      </w:pPr>
      <w:r>
        <w:t xml:space="preserve">Recommendations for policymakers, law firms, and legal educators in Israel.</w:t>
      </w:r>
    </w:p>
    <w:p>
      <w:pPr>
        <w:numPr>
          <w:ilvl w:val="0"/>
          <w:numId w:val="1008"/>
        </w:numPr>
        <w:pStyle w:val="Compact"/>
      </w:pPr>
      <w:r>
        <w:t xml:space="preserve">Insights into the role of technology in transforming legal services.</w:t>
      </w:r>
    </w:p>
    <w:bookmarkEnd w:id="30"/>
    <w:bookmarkStart w:id="31" w:name="conclusion"/>
    <w:p>
      <w:pPr>
        <w:pStyle w:val="Heading2"/>
      </w:pPr>
      <w:r>
        <w:t xml:space="preserve">8. Conclusion</w:t>
      </w:r>
    </w:p>
    <w:p>
      <w:pPr>
        <w:pStyle w:val="FirstParagraph"/>
      </w:pPr>
      <w:r>
        <w:t xml:space="preserve">This Experiment Protocol provides a robust framework for studying the legal profession in Israel, with a specific focus on Tel Aviv. By following this structured approach, we aim to generate valuable insights that can enhance the quality and efficiency of legal services in the region. The findings will contribute to a deeper understanding of the challenges and opportunities faced by lawyers in one of the world's most dynamic legal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Israel Tel Aviv</dc:title>
  <dc:creator/>
  <dc:language>en</dc:language>
  <cp:keywords/>
  <dcterms:created xsi:type="dcterms:W3CDTF">2026-10-10T08:34:45Z</dcterms:created>
  <dcterms:modified xsi:type="dcterms:W3CDTF">2026-10-10T08:34:45Z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