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Legal</w:t>
      </w:r>
      <w:r>
        <w:t xml:space="preserve"> </w:t>
      </w:r>
      <w:r>
        <w:t xml:space="preserve">Practice</w:t>
      </w:r>
      <w:r>
        <w:t xml:space="preserve"> </w:t>
      </w:r>
      <w:r>
        <w:t xml:space="preserve">Adaptation</w:t>
      </w:r>
      <w:r>
        <w:t xml:space="preserve"> </w:t>
      </w:r>
      <w:r>
        <w:t xml:space="preserve">in</w:t>
      </w:r>
      <w:r>
        <w:t xml:space="preserve"> </w:t>
      </w:r>
      <w:r>
        <w:t xml:space="preserve">Kyoto,</w:t>
      </w:r>
      <w:r>
        <w:t xml:space="preserve"> </w:t>
      </w:r>
      <w:r>
        <w:t xml:space="preserve">Japan</w:t>
      </w:r>
    </w:p>
    <w:bookmarkStart w:id="33" w:name="X495d1014ae0dc029edf8ca583f7feaf4fbcbaa3"/>
    <w:p>
      <w:pPr>
        <w:pStyle w:val="Heading1"/>
      </w:pPr>
      <w:r>
        <w:t xml:space="preserve">Experiment Protocol: Cross-Cultural Legal Consultation Dynamics in Kyoto, Japan</w:t>
      </w:r>
    </w:p>
    <w:p>
      <w:pPr>
        <w:pStyle w:val="FirstParagraph"/>
      </w:pPr>
      <w:r>
        <w:rPr>
          <w:bCs/>
          <w:b/>
        </w:rPr>
        <w:t xml:space="preserve">Protocol ID:</w:t>
      </w:r>
      <w:r>
        <w:t xml:space="preserve"> </w:t>
      </w:r>
      <w:r>
        <w:t xml:space="preserve">KYOTO-LEG-2024-001</w:t>
      </w:r>
    </w:p>
    <w:p>
      <w:pPr>
        <w:pStyle w:val="BodyText"/>
      </w:pPr>
      <w:r>
        <w:rPr>
          <w:bCs/>
          <w:b/>
        </w:rPr>
        <w:t xml:space="preserve">Subject:</w:t>
      </w:r>
      <w:r>
        <w:t xml:space="preserve"> </w:t>
      </w:r>
      <w:r>
        <w:t xml:space="preserve">Interaction Patterns between Foreign Legal Practitioners and Local Clients</w:t>
      </w:r>
    </w:p>
    <w:p>
      <w:pPr>
        <w:pStyle w:val="BodyText"/>
      </w:pPr>
      <w:r>
        <w:rPr>
          <w:bCs/>
          <w:b/>
        </w:rPr>
        <w:t xml:space="preserve">Location:</w:t>
      </w:r>
      <w:r>
        <w:t xml:space="preserve"> </w:t>
      </w:r>
      <w:r>
        <w:t xml:space="preserve">Kyoto, Japan</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26, 2023</w:t>
      </w:r>
    </w:p>
    <w:bookmarkStart w:id="20" w:name="introduction-and-background"/>
    <w:p>
      <w:pPr>
        <w:pStyle w:val="Heading2"/>
      </w:pPr>
      <w:r>
        <w:t xml:space="preserve">1. Introduction and Background</w:t>
      </w:r>
    </w:p>
    <w:p>
      <w:pPr>
        <w:pStyle w:val="FirstParagraph"/>
      </w:pPr>
      <w:r>
        <w:t xml:space="preserve">This Experiment Protocol outlines the methodology for a sociological and legal study focused on the role of the Lawyer within the specific cultural and geographic context of Japan Kyoto. While the legal framework of Japan is codified and modern, the practice of law in Kyoto is deeply influenced by the city's historical emphasis on tradition, consensus, and subtle communication. This study aims to analyze how foreign-trained lawyers adapt their consultation styles when operating in Kyoto compared to more metropolitan centers like Tokyo.</w:t>
      </w:r>
    </w:p>
    <w:p>
      <w:pPr>
        <w:pStyle w:val="BodyText"/>
      </w:pPr>
      <w:r>
        <w:t xml:space="preserve">The Lawyer is not merely a legal technician in this context but a cultural mediator. In Kyoto, a city known for its distinct social etiquette and preservation of heritage, the interaction between a legal professional and a client often transcends statutory interpretation. This experiment seeks to quantify and qualify these interactions to develop a best-practice framework for international legal services in the Kansai region.</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evaluate the efficacy of direct versus indirect communication styles employed by a Lawyer when advising clients in Kyoto.</w:t>
      </w:r>
    </w:p>
    <w:p>
      <w:pPr>
        <w:numPr>
          <w:ilvl w:val="0"/>
          <w:numId w:val="1001"/>
        </w:numPr>
        <w:pStyle w:val="Compact"/>
      </w:pPr>
      <w:r>
        <w:t xml:space="preserve">To assess the impact of cultural familiarity on client trust levels in Japan Kyoto legal markets.</w:t>
      </w:r>
    </w:p>
    <w:p>
      <w:pPr>
        <w:numPr>
          <w:ilvl w:val="0"/>
          <w:numId w:val="1001"/>
        </w:numPr>
        <w:pStyle w:val="Compact"/>
      </w:pPr>
      <w:r>
        <w:t xml:space="preserve">To determine how local Kyoto business customs influence the drafting and negotiation of legal contracts.</w:t>
      </w:r>
    </w:p>
    <w:p>
      <w:pPr>
        <w:numPr>
          <w:ilvl w:val="0"/>
          <w:numId w:val="1001"/>
        </w:numPr>
        <w:pStyle w:val="Compact"/>
      </w:pPr>
      <w:r>
        <w:t xml:space="preserve">To identify specific barriers foreign lawyers face when navigating the local judicial and administrative systems in Kyoto.</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utilize a mixed-methods approach, combining controlled role-playing simulations with qualitative interviews. The experiment will be conducted over a period of six months. The setting will be a simulated law office environment located in the central business district of Kyoto, designed to mimic the traditional yet professional atmosphere typical of the region.</w:t>
      </w:r>
    </w:p>
    <w:bookmarkEnd w:id="22"/>
    <w:bookmarkStart w:id="23" w:name="participants"/>
    <w:p>
      <w:pPr>
        <w:pStyle w:val="Heading3"/>
      </w:pPr>
      <w:r>
        <w:t xml:space="preserve">3.2 Participants</w:t>
      </w:r>
    </w:p>
    <w:p>
      <w:pPr>
        <w:pStyle w:val="FirstParagraph"/>
      </w:pPr>
      <w:r>
        <w:t xml:space="preserve">The participants will be divided into two groups:</w:t>
      </w:r>
    </w:p>
    <w:p>
      <w:pPr>
        <w:numPr>
          <w:ilvl w:val="0"/>
          <w:numId w:val="1002"/>
        </w:numPr>
        <w:pStyle w:val="Compact"/>
      </w:pPr>
      <w:r>
        <w:rPr>
          <w:bCs/>
          <w:b/>
        </w:rPr>
        <w:t xml:space="preserve">Group A (The Lawyers):</w:t>
      </w:r>
      <w:r>
        <w:t xml:space="preserve"> </w:t>
      </w:r>
      <w:r>
        <w:t xml:space="preserve">Ten licensed foreign lawyers specializing in international business law, none of whom have prior long-term residence in Japan Kyoto. They will be briefed on Japanese law but not on local Kyoto etiquette.</w:t>
      </w:r>
    </w:p>
    <w:p>
      <w:pPr>
        <w:numPr>
          <w:ilvl w:val="0"/>
          <w:numId w:val="1002"/>
        </w:numPr>
        <w:pStyle w:val="Compact"/>
      </w:pPr>
      <w:r>
        <w:rPr>
          <w:bCs/>
          <w:b/>
        </w:rPr>
        <w:t xml:space="preserve">Group B (The Clients):</w:t>
      </w:r>
      <w:r>
        <w:t xml:space="preserve"> </w:t>
      </w:r>
      <w:r>
        <w:t xml:space="preserve">Twenty local business owners and residents from Kyoto. These participants will be briefed to act as clients seeking legal advice on commercial disputes or property acquisition.</w:t>
      </w:r>
    </w:p>
    <w:bookmarkEnd w:id="23"/>
    <w:bookmarkStart w:id="24" w:name="procedure"/>
    <w:p>
      <w:pPr>
        <w:pStyle w:val="Heading3"/>
      </w:pPr>
      <w:r>
        <w:t xml:space="preserve">3.3 Procedure</w:t>
      </w:r>
    </w:p>
    <w:p>
      <w:pPr>
        <w:pStyle w:val="FirstParagraph"/>
      </w:pPr>
      <w:r>
        <w:t xml:space="preserve">The experiment will proceed in three phases. In Phase 1, the Lawyer will conduct an initial consultation with the client. The interaction will be recorded via audio and video to analyze non-verbal cues, which are critical in Japan Kyoto culture. In Phase 2, the Lawyer will draft a preliminary legal opinion or contract based on the consultation. In Phase 3, a feedback session will be held where the client rates the Lawyer's performance based on trust, clarity, and cultural sensitivity.</w:t>
      </w:r>
    </w:p>
    <w:p>
      <w:pPr>
        <w:pStyle w:val="BodyText"/>
      </w:pPr>
      <w:r>
        <w:t xml:space="preserve">A control variable will be introduced where half of the Lawyers receive a one-day intensive workshop on Kyoto-specific business etiquette prior to the consultation, while the other half do not. This will allow for a direct comparison of how cultural preparation affects the Lawyer-client dynamic.</w:t>
      </w:r>
    </w:p>
    <w:bookmarkEnd w:id="24"/>
    <w:bookmarkEnd w:id="25"/>
    <w:bookmarkStart w:id="28" w:name="variables-and-metrics"/>
    <w:p>
      <w:pPr>
        <w:pStyle w:val="Heading2"/>
      </w:pPr>
      <w:r>
        <w:t xml:space="preserve">4. Variables and Metrics</w:t>
      </w:r>
    </w:p>
    <w:bookmarkStart w:id="26" w:name="independent-variables"/>
    <w:p>
      <w:pPr>
        <w:pStyle w:val="Heading3"/>
      </w:pPr>
      <w:r>
        <w:t xml:space="preserve">4.1 Independent Variables</w:t>
      </w:r>
    </w:p>
    <w:p>
      <w:pPr>
        <w:numPr>
          <w:ilvl w:val="0"/>
          <w:numId w:val="1003"/>
        </w:numPr>
        <w:pStyle w:val="Compact"/>
      </w:pPr>
      <w:r>
        <w:t xml:space="preserve">Communication style (Direct vs. Indirect).</w:t>
      </w:r>
    </w:p>
    <w:p>
      <w:pPr>
        <w:numPr>
          <w:ilvl w:val="0"/>
          <w:numId w:val="1003"/>
        </w:numPr>
        <w:pStyle w:val="Compact"/>
      </w:pPr>
      <w:r>
        <w:t xml:space="preserve">Level of cultural preparation regarding Japan Kyoto norms.</w:t>
      </w:r>
    </w:p>
    <w:p>
      <w:pPr>
        <w:numPr>
          <w:ilvl w:val="0"/>
          <w:numId w:val="1003"/>
        </w:numPr>
        <w:pStyle w:val="Compact"/>
      </w:pPr>
      <w:r>
        <w:t xml:space="preserve">Language proficiency (English vs. Japanese).</w:t>
      </w:r>
    </w:p>
    <w:bookmarkEnd w:id="26"/>
    <w:bookmarkStart w:id="27" w:name="dependent-variables"/>
    <w:p>
      <w:pPr>
        <w:pStyle w:val="Heading3"/>
      </w:pPr>
      <w:r>
        <w:t xml:space="preserve">4.2 Dependent Variables</w:t>
      </w:r>
    </w:p>
    <w:p>
      <w:pPr>
        <w:numPr>
          <w:ilvl w:val="0"/>
          <w:numId w:val="1004"/>
        </w:numPr>
        <w:pStyle w:val="Compact"/>
      </w:pPr>
      <w:r>
        <w:t xml:space="preserve">Client satisfaction scores (measured on a Likert scale).</w:t>
      </w:r>
    </w:p>
    <w:p>
      <w:pPr>
        <w:numPr>
          <w:ilvl w:val="0"/>
          <w:numId w:val="1004"/>
        </w:numPr>
        <w:pStyle w:val="Compact"/>
      </w:pPr>
      <w:r>
        <w:t xml:space="preserve">Perceived trustworthiness of the Lawyer.</w:t>
      </w:r>
    </w:p>
    <w:p>
      <w:pPr>
        <w:numPr>
          <w:ilvl w:val="0"/>
          <w:numId w:val="1004"/>
        </w:numPr>
        <w:pStyle w:val="Compact"/>
      </w:pPr>
      <w:r>
        <w:t xml:space="preserve">Accuracy of legal advice regarding local Kyoto regulations.</w:t>
      </w:r>
    </w:p>
    <w:p>
      <w:pPr>
        <w:numPr>
          <w:ilvl w:val="0"/>
          <w:numId w:val="1004"/>
        </w:numPr>
        <w:pStyle w:val="Compact"/>
      </w:pPr>
      <w:r>
        <w:t xml:space="preserve">Time efficiency of the consultation process.</w:t>
      </w:r>
    </w:p>
    <w:bookmarkEnd w:id="27"/>
    <w:bookmarkEnd w:id="28"/>
    <w:bookmarkStart w:id="29" w:name="ethical-considerations"/>
    <w:p>
      <w:pPr>
        <w:pStyle w:val="Heading2"/>
      </w:pPr>
      <w:r>
        <w:t xml:space="preserve">5. Ethical Considerations</w:t>
      </w:r>
    </w:p>
    <w:p>
      <w:pPr>
        <w:pStyle w:val="FirstParagraph"/>
      </w:pPr>
      <w:r>
        <w:t xml:space="preserve">All participants in this Experiment Protocol must provide informed consent. Given the sensitive nature of legal matters, strict confidentiality protocols will be enforced. No real legal advice will be dispensed; all scenarios are hypothetical. The study adheres to the ethical guidelines set forth by the Japanese Bar Association and international research standards. Special attention will be paid to the cultural sensitivity of the participants in Japan Kyoto, ensuring that the simulation does not cause distress or offense.</w:t>
      </w:r>
    </w:p>
    <w:bookmarkEnd w:id="29"/>
    <w:bookmarkStart w:id="30" w:name="data-analysis"/>
    <w:p>
      <w:pPr>
        <w:pStyle w:val="Heading2"/>
      </w:pPr>
      <w:r>
        <w:t xml:space="preserve">6. Data Analysis</w:t>
      </w:r>
    </w:p>
    <w:p>
      <w:pPr>
        <w:pStyle w:val="FirstParagraph"/>
      </w:pPr>
      <w:r>
        <w:t xml:space="preserve">Quantitative data from client surveys will be analyzed using statistical software to determine significant correlations between cultural preparation and client trust. Qualitative data from video recordings will be coded for specific behavioral markers, such as eye contact, bowing etiquette, and the use of honorifics. The analysis will focus on how the Lawyer navigates the unique social fabric of Kyoto, where maintaining harmony is often prioritized over aggressive legal posturing.</w:t>
      </w:r>
    </w:p>
    <w:bookmarkEnd w:id="30"/>
    <w:bookmarkStart w:id="31" w:name="expected-outcomes"/>
    <w:p>
      <w:pPr>
        <w:pStyle w:val="Heading2"/>
      </w:pPr>
      <w:r>
        <w:t xml:space="preserve">7. Expected Outcomes</w:t>
      </w:r>
    </w:p>
    <w:p>
      <w:pPr>
        <w:pStyle w:val="FirstParagraph"/>
      </w:pPr>
      <w:r>
        <w:t xml:space="preserve">It is hypothesized that Lawyers who demonstrate an understanding of Kyoto's traditional values will achieve higher trust scores, even if their legal technicalities are identical to those of less culturally aware peers. The study aims to produce a comprehensive guide for foreign legal practitioners entering the Japan Kyoto market, emphasizing that success in this region requires a blend of legal expertise and cultural fluency.</w:t>
      </w:r>
    </w:p>
    <w:bookmarkEnd w:id="31"/>
    <w:bookmarkStart w:id="32" w:name="conclusion"/>
    <w:p>
      <w:pPr>
        <w:pStyle w:val="Heading2"/>
      </w:pPr>
      <w:r>
        <w:t xml:space="preserve">8. Conclusion</w:t>
      </w:r>
    </w:p>
    <w:p>
      <w:pPr>
        <w:pStyle w:val="FirstParagraph"/>
      </w:pPr>
      <w:r>
        <w:t xml:space="preserve">This Experiment Protocol provides a structured framework for understanding the complex interplay between law and culture in Japan Kyoto. By focusing on the Lawyer as a central figure in this dynamic, the study seeks to bridge the gap between international legal standards and local expectations. The findings will contribute to the broader field of comparative law and cross-cultural communication, offering valuable insights for legal professionals operating in one of Japan's most culturally significant cities.</w:t>
      </w:r>
    </w:p>
    <w:p>
      <w:pPr>
        <w:pStyle w:val="BodyText"/>
      </w:pPr>
      <w:r>
        <w:rPr>
          <w:bCs/>
          <w:b/>
        </w:rPr>
        <w:t xml:space="preserve">Disclaimer:</w:t>
      </w:r>
      <w:r>
        <w:t xml:space="preserve"> </w:t>
      </w:r>
      <w:r>
        <w:t xml:space="preserve">This document is a simulated experiment protocol for educational and illustrative purposes only. It does not constitute legal advice or a binding legal document. The scenarios described are hypothetical and do not reflect actual legal proceedings or specific individuals in Kyoto, Japan.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Legal Practice Adaptation in Kyoto, Japan</dc:title>
  <dc:creator/>
  <dc:language>en</dc:language>
  <cp:keywords/>
  <dcterms:created xsi:type="dcterms:W3CDTF">2026-10-10T04:08:10Z</dcterms:created>
  <dcterms:modified xsi:type="dcterms:W3CDTF">2026-10-10T04:08:10Z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