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Efficacy</w:t>
      </w:r>
      <w:r>
        <w:t xml:space="preserve"> </w:t>
      </w:r>
      <w:r>
        <w:t xml:space="preserve">in</w:t>
      </w:r>
      <w:r>
        <w:t xml:space="preserve"> </w:t>
      </w:r>
      <w:r>
        <w:t xml:space="preserve">Osaka,</w:t>
      </w:r>
      <w:r>
        <w:t xml:space="preserve"> </w:t>
      </w:r>
      <w:r>
        <w:t xml:space="preserve">Japan</w:t>
      </w:r>
    </w:p>
    <w:bookmarkStart w:id="30" w:name="Xfaea48db273d61f7b1d0cc9764be3862e66fcd6"/>
    <w:p>
      <w:pPr>
        <w:pStyle w:val="Heading1"/>
      </w:pPr>
      <w:r>
        <w:t xml:space="preserve">Experiment Protocol: Comparative Analysis of Legal Consultation Efficacy for Foreign Residents in Japan Osaka</w:t>
      </w:r>
    </w:p>
    <w:p>
      <w:pPr>
        <w:pStyle w:val="FirstParagraph"/>
      </w:pPr>
      <w:r>
        <w:rPr>
          <w:bCs/>
          <w:b/>
        </w:rPr>
        <w:t xml:space="preserve">Protocol ID:</w:t>
      </w:r>
      <w:r>
        <w:t xml:space="preserve"> </w:t>
      </w:r>
      <w:r>
        <w:t xml:space="preserve">JP-OSA-LEG-2024-001</w:t>
      </w:r>
    </w:p>
    <w:p>
      <w:pPr>
        <w:pStyle w:val="BodyText"/>
      </w:pPr>
      <w:r>
        <w:rPr>
          <w:bCs/>
          <w:b/>
        </w:rPr>
        <w:t xml:space="preserve">Location:</w:t>
      </w:r>
      <w:r>
        <w:t xml:space="preserve"> </w:t>
      </w:r>
      <w:r>
        <w:t xml:space="preserve">Osaka Prefecture, Japan (Specifically: Chuo-ku, Naniwa-ku, and Abeno-ku)</w:t>
      </w:r>
    </w:p>
    <w:p>
      <w:pPr>
        <w:pStyle w:val="BodyText"/>
      </w:pPr>
      <w:r>
        <w:rPr>
          <w:bCs/>
          <w:b/>
        </w:rPr>
        <w:t xml:space="preserve">Subject:</w:t>
      </w:r>
      <w:r>
        <w:t xml:space="preserve"> </w:t>
      </w:r>
      <w:r>
        <w:t xml:space="preserve">Professional Legal Services (Lawyer/Bengoshi)</w:t>
      </w:r>
    </w:p>
    <w:p>
      <w:pPr>
        <w:pStyle w:val="BodyText"/>
      </w:pPr>
      <w:r>
        <w:rPr>
          <w:bCs/>
          <w:b/>
        </w:rPr>
        <w:t xml:space="preserve">Date of Draft:</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 Japan is characterized by a high degree of formality and specific cultural nuances. For foreign residents, particularly those residing in major metropolitan hubs like</w:t>
      </w:r>
      <w:r>
        <w:t xml:space="preserve"> </w:t>
      </w:r>
      <w:r>
        <w:rPr>
          <w:bCs/>
          <w:b/>
        </w:rPr>
        <w:t xml:space="preserve">Japan Osaka</w:t>
      </w:r>
      <w:r>
        <w:t xml:space="preserve">, navigating this system presents unique challenges. While the role of the</w:t>
      </w:r>
      <w:r>
        <w:t xml:space="preserve"> </w:t>
      </w:r>
      <w:r>
        <w:rPr>
          <w:bCs/>
          <w:b/>
        </w:rPr>
        <w:t xml:space="preserve">Lawyer</w:t>
      </w:r>
      <w:r>
        <w:t xml:space="preserve"> </w:t>
      </w:r>
      <w:r>
        <w:t xml:space="preserve">(Bengoshi) is well-defined under the Japanese Attorney Act, the accessibility, communication efficacy, and cultural alignment of these services vary significantly.</w:t>
      </w:r>
    </w:p>
    <w:p>
      <w:pPr>
        <w:pStyle w:val="BodyText"/>
      </w:pPr>
      <w:r>
        <w:t xml:space="preserve">This</w:t>
      </w:r>
      <w:r>
        <w:t xml:space="preserve"> </w:t>
      </w:r>
      <w:r>
        <w:rPr>
          <w:bCs/>
          <w:b/>
        </w:rPr>
        <w:t xml:space="preserve">Experiment Protocol</w:t>
      </w:r>
      <w:r>
        <w:t xml:space="preserve"> </w:t>
      </w:r>
      <w:r>
        <w:t xml:space="preserve">is designed to systematically evaluate the quality, responsiveness, and cultural competence of legal services provided by attorneys in the Osaka region. The study aims to bridge the gap between foreign client expectations and the traditional Japanese legal practice model. By conducting this experiment, we seek to generate empirical data that can improve legal service delivery in one of Japan's most diverse economic centers.</w:t>
      </w:r>
    </w:p>
    <w:bookmarkEnd w:id="20"/>
    <w:bookmarkStart w:id="21" w:name="objectives"/>
    <w:p>
      <w:pPr>
        <w:pStyle w:val="Heading2"/>
      </w:pPr>
      <w:r>
        <w:t xml:space="preserve">2. Objectives</w:t>
      </w:r>
    </w:p>
    <w:p>
      <w:pPr>
        <w:pStyle w:val="FirstParagraph"/>
      </w:pPr>
      <w:r>
        <w:t xml:space="preserve">The primary objective of this experiment is to assess the operational efficiency and client satisfaction levels of</w:t>
      </w:r>
      <w:r>
        <w:t xml:space="preserve"> </w:t>
      </w:r>
      <w:r>
        <w:rPr>
          <w:bCs/>
          <w:b/>
        </w:rPr>
        <w:t xml:space="preserve">Lawyer</w:t>
      </w:r>
      <w:r>
        <w:t xml:space="preserve"> </w:t>
      </w:r>
      <w:r>
        <w:t xml:space="preserve">services in</w:t>
      </w:r>
      <w:r>
        <w:t xml:space="preserve"> </w:t>
      </w:r>
      <w:r>
        <w:rPr>
          <w:bCs/>
          <w:b/>
        </w:rPr>
        <w:t xml:space="preserve">Japan Osaka</w:t>
      </w:r>
      <w:r>
        <w:t xml:space="preserve">. Specific goals include:</w:t>
      </w:r>
    </w:p>
    <w:p>
      <w:pPr>
        <w:numPr>
          <w:ilvl w:val="0"/>
          <w:numId w:val="1001"/>
        </w:numPr>
        <w:pStyle w:val="Compact"/>
      </w:pPr>
      <w:r>
        <w:t xml:space="preserve">To measure the average response time of Osaka-based law firms to initial inquiries from non-Japanese speakers.</w:t>
      </w:r>
    </w:p>
    <w:p>
      <w:pPr>
        <w:numPr>
          <w:ilvl w:val="0"/>
          <w:numId w:val="1001"/>
        </w:numPr>
        <w:pStyle w:val="Compact"/>
      </w:pPr>
      <w:r>
        <w:t xml:space="preserve">To evaluate the accuracy and clarity of legal advice provided regarding common issues (e.g., visa status, labor disputes, contract law).</w:t>
      </w:r>
    </w:p>
    <w:p>
      <w:pPr>
        <w:numPr>
          <w:ilvl w:val="0"/>
          <w:numId w:val="1001"/>
        </w:numPr>
        <w:pStyle w:val="Compact"/>
      </w:pPr>
      <w:r>
        <w:t xml:space="preserve">To analyze the impact of language barriers on the perceived trustworthiness of the</w:t>
      </w:r>
      <w:r>
        <w:t xml:space="preserve"> </w:t>
      </w:r>
      <w:r>
        <w:rPr>
          <w:bCs/>
          <w:b/>
        </w:rPr>
        <w:t xml:space="preserve">Lawyer</w:t>
      </w:r>
      <w:r>
        <w:t xml:space="preserve">.</w:t>
      </w:r>
    </w:p>
    <w:p>
      <w:pPr>
        <w:numPr>
          <w:ilvl w:val="0"/>
          <w:numId w:val="1001"/>
        </w:numPr>
        <w:pStyle w:val="Compact"/>
      </w:pPr>
      <w:r>
        <w:t xml:space="preserve">To determine the cost-effectiveness of legal consultations in Osaka compared to national averages.</w:t>
      </w:r>
    </w:p>
    <w:bookmarkEnd w:id="21"/>
    <w:bookmarkStart w:id="25"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metrics with qualitative feedback. The experiment will be conducted over a period of six months.</w:t>
      </w:r>
    </w:p>
    <w:bookmarkStart w:id="22" w:name="study-population"/>
    <w:p>
      <w:pPr>
        <w:pStyle w:val="Heading3"/>
      </w:pPr>
      <w:r>
        <w:t xml:space="preserve">3.1 Study Population</w:t>
      </w:r>
    </w:p>
    <w:p>
      <w:pPr>
        <w:pStyle w:val="FirstParagraph"/>
      </w:pPr>
      <w:r>
        <w:t xml:space="preserve">The study will focus on foreign residents currently living in</w:t>
      </w:r>
      <w:r>
        <w:t xml:space="preserve"> </w:t>
      </w:r>
      <w:r>
        <w:rPr>
          <w:bCs/>
          <w:b/>
        </w:rPr>
        <w:t xml:space="preserve">Japan Osaka</w:t>
      </w:r>
      <w:r>
        <w:t xml:space="preserve"> </w:t>
      </w:r>
      <w:r>
        <w:t xml:space="preserve">who have sought or are seeking legal assistance. Participants will be recruited through community centers in Namba, Umeda, and Tennoji, as well as through online expatriate forums specific to the Kansai region.</w:t>
      </w:r>
    </w:p>
    <w:bookmarkEnd w:id="22"/>
    <w:bookmarkStart w:id="23" w:name="selection-of-legal-practitioners"/>
    <w:p>
      <w:pPr>
        <w:pStyle w:val="Heading3"/>
      </w:pPr>
      <w:r>
        <w:t xml:space="preserve">3.2 Selection of Legal Practitioners</w:t>
      </w:r>
    </w:p>
    <w:p>
      <w:pPr>
        <w:pStyle w:val="FirstParagraph"/>
      </w:pPr>
      <w:r>
        <w:t xml:space="preserve">A panel of 20</w:t>
      </w:r>
      <w:r>
        <w:t xml:space="preserve"> </w:t>
      </w:r>
      <w:r>
        <w:rPr>
          <w:bCs/>
          <w:b/>
        </w:rPr>
        <w:t xml:space="preserve">Lawyer</w:t>
      </w:r>
      <w:r>
        <w:t xml:space="preserve"> </w:t>
      </w:r>
      <w:r>
        <w:t xml:space="preserve">practitioners registered with the Osaka Bar Association will be selected. The selection criteria include:</w:t>
      </w:r>
    </w:p>
    <w:p>
      <w:pPr>
        <w:numPr>
          <w:ilvl w:val="0"/>
          <w:numId w:val="1002"/>
        </w:numPr>
        <w:pStyle w:val="Compact"/>
      </w:pPr>
      <w:r>
        <w:t xml:space="preserve">Minimum of 5 years of practice experience.</w:t>
      </w:r>
    </w:p>
    <w:p>
      <w:pPr>
        <w:numPr>
          <w:ilvl w:val="0"/>
          <w:numId w:val="1002"/>
        </w:numPr>
        <w:pStyle w:val="Compact"/>
      </w:pPr>
      <w:r>
        <w:t xml:space="preserve">Physical office location within Osaka City.</w:t>
      </w:r>
    </w:p>
    <w:p>
      <w:pPr>
        <w:numPr>
          <w:ilvl w:val="0"/>
          <w:numId w:val="1002"/>
        </w:numPr>
        <w:pStyle w:val="Compact"/>
      </w:pPr>
      <w:r>
        <w:t xml:space="preserve">Declared proficiency in English or other major foreign languages.</w:t>
      </w:r>
    </w:p>
    <w:bookmarkEnd w:id="23"/>
    <w:bookmarkStart w:id="24" w:name="experimental-procedure"/>
    <w:p>
      <w:pPr>
        <w:pStyle w:val="Heading3"/>
      </w:pPr>
      <w:r>
        <w:t xml:space="preserve">3.3 Experimental Procedure</w:t>
      </w:r>
    </w:p>
    <w:p>
      <w:pPr>
        <w:pStyle w:val="FirstParagraph"/>
      </w:pPr>
      <w:r>
        <w:t xml:space="preserve">The experiment involves a standardized "mystery client" scenario. Participants will present a hypothetical but legally complex case to the selected</w:t>
      </w:r>
      <w:r>
        <w:t xml:space="preserve"> </w:t>
      </w:r>
      <w:r>
        <w:rPr>
          <w:bCs/>
          <w:b/>
        </w:rPr>
        <w:t xml:space="preserve">Lawyer</w:t>
      </w:r>
      <w:r>
        <w:t xml:space="preserve">. The case involves a labor dispute regarding unpaid overtime, a common issue in</w:t>
      </w:r>
      <w:r>
        <w:t xml:space="preserve"> </w:t>
      </w:r>
      <w:r>
        <w:rPr>
          <w:bCs/>
          <w:b/>
        </w:rPr>
        <w:t xml:space="preserve">Japan Osaka</w:t>
      </w:r>
      <w:r>
        <w:t xml:space="preserve">'s service industry.</w:t>
      </w:r>
    </w:p>
    <w:p>
      <w:pPr>
        <w:pStyle w:val="BodyText"/>
      </w:pPr>
      <w:r>
        <w:t xml:space="preserve">The procedure is as follows:</w:t>
      </w:r>
    </w:p>
    <w:p>
      <w:pPr>
        <w:numPr>
          <w:ilvl w:val="0"/>
          <w:numId w:val="1003"/>
        </w:numPr>
        <w:pStyle w:val="Compact"/>
      </w:pPr>
      <w:r>
        <w:rPr>
          <w:bCs/>
          <w:b/>
        </w:rPr>
        <w:t xml:space="preserve">Initial Contact:</w:t>
      </w:r>
      <w:r>
        <w:t xml:space="preserve"> </w:t>
      </w:r>
      <w:r>
        <w:t xml:space="preserve">The participant contacts the law firm via email or phone in English.</w:t>
      </w:r>
    </w:p>
    <w:p>
      <w:pPr>
        <w:numPr>
          <w:ilvl w:val="0"/>
          <w:numId w:val="1003"/>
        </w:numPr>
        <w:pStyle w:val="Compact"/>
      </w:pPr>
      <w:r>
        <w:rPr>
          <w:bCs/>
          <w:b/>
        </w:rPr>
        <w:t xml:space="preserve">Consultation:</w:t>
      </w:r>
      <w:r>
        <w:t xml:space="preserve"> </w:t>
      </w:r>
      <w:r>
        <w:t xml:space="preserve">A face-to-face or video consultation is scheduled.</w:t>
      </w:r>
    </w:p>
    <w:p>
      <w:pPr>
        <w:numPr>
          <w:ilvl w:val="0"/>
          <w:numId w:val="1003"/>
        </w:numPr>
        <w:pStyle w:val="Compact"/>
      </w:pPr>
      <w:r>
        <w:rPr>
          <w:bCs/>
          <w:b/>
        </w:rPr>
        <w:t xml:space="preserve">Assessment:</w:t>
      </w:r>
      <w:r>
        <w:t xml:space="preserve"> </w:t>
      </w:r>
      <w:r>
        <w:t xml:space="preserve">The participant completes a detailed survey immediately after the consultation.</w:t>
      </w:r>
    </w:p>
    <w:bookmarkEnd w:id="24"/>
    <w:bookmarkEnd w:id="25"/>
    <w:bookmarkStart w:id="26" w:name="data-collection-instruments"/>
    <w:p>
      <w:pPr>
        <w:pStyle w:val="Heading2"/>
      </w:pPr>
      <w:r>
        <w:t xml:space="preserve">4. Data Collection Instruments</w:t>
      </w:r>
    </w:p>
    <w:p>
      <w:pPr>
        <w:pStyle w:val="FirstParagraph"/>
      </w:pPr>
      <w:r>
        <w:t xml:space="preserve">Data will be collected using a structured questionnaire based on the SERVQUAL model, adapted for the legal context.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Scale</w:t>
            </w:r>
          </w:p>
        </w:tc>
      </w:tr>
      <w:tr>
        <w:tc>
          <w:tcPr/>
          <w:p>
            <w:pPr>
              <w:pStyle w:val="Compact"/>
              <w:jc w:val="left"/>
            </w:pPr>
            <w:r>
              <w:t xml:space="preserve">Responsiveness</w:t>
            </w:r>
          </w:p>
        </w:tc>
        <w:tc>
          <w:tcPr/>
          <w:p>
            <w:pPr>
              <w:pStyle w:val="Compact"/>
              <w:jc w:val="left"/>
            </w:pPr>
            <w:r>
              <w:t xml:space="preserve">Time taken to schedule the first appointment.</w:t>
            </w:r>
          </w:p>
        </w:tc>
        <w:tc>
          <w:tcPr/>
          <w:p>
            <w:pPr>
              <w:pStyle w:val="Compact"/>
              <w:jc w:val="left"/>
            </w:pPr>
            <w:r>
              <w:t xml:space="preserve">Hours/Days</w:t>
            </w:r>
          </w:p>
        </w:tc>
      </w:tr>
      <w:tr>
        <w:tc>
          <w:tcPr/>
          <w:p>
            <w:pPr>
              <w:pStyle w:val="Compact"/>
              <w:jc w:val="left"/>
            </w:pPr>
            <w:r>
              <w:t xml:space="preserve">Clarity</w:t>
            </w:r>
          </w:p>
        </w:tc>
        <w:tc>
          <w:tcPr/>
          <w:p>
            <w:pPr>
              <w:pStyle w:val="Compact"/>
              <w:jc w:val="left"/>
            </w:pPr>
            <w:r>
              <w:t xml:space="preserve">Ability of the Lawyer to explain Japanese law in simple terms.</w:t>
            </w:r>
          </w:p>
        </w:tc>
        <w:tc>
          <w:tcPr/>
          <w:p>
            <w:pPr>
              <w:pStyle w:val="Compact"/>
              <w:jc w:val="left"/>
            </w:pPr>
            <w:r>
              <w:t xml:space="preserve">1-10 Likert Scale</w:t>
            </w:r>
          </w:p>
        </w:tc>
      </w:tr>
      <w:tr>
        <w:tc>
          <w:tcPr/>
          <w:p>
            <w:pPr>
              <w:pStyle w:val="Compact"/>
              <w:jc w:val="left"/>
            </w:pPr>
            <w:r>
              <w:t xml:space="preserve">Cultural Sensitivity</w:t>
            </w:r>
          </w:p>
        </w:tc>
        <w:tc>
          <w:tcPr/>
          <w:p>
            <w:pPr>
              <w:pStyle w:val="Compact"/>
              <w:jc w:val="left"/>
            </w:pPr>
            <w:r>
              <w:t xml:space="preserve">Awareness of the client's foreign background and needs.</w:t>
            </w:r>
          </w:p>
        </w:tc>
        <w:tc>
          <w:tcPr/>
          <w:p>
            <w:pPr>
              <w:pStyle w:val="Compact"/>
              <w:jc w:val="left"/>
            </w:pPr>
            <w:r>
              <w:t xml:space="preserve">1-10 Likert Scale</w:t>
            </w:r>
          </w:p>
        </w:tc>
      </w:tr>
      <w:tr>
        <w:tc>
          <w:tcPr/>
          <w:p>
            <w:pPr>
              <w:pStyle w:val="Compact"/>
              <w:jc w:val="left"/>
            </w:pPr>
            <w:r>
              <w:t xml:space="preserve">Cost Transparency</w:t>
            </w:r>
          </w:p>
        </w:tc>
        <w:tc>
          <w:tcPr/>
          <w:p>
            <w:pPr>
              <w:pStyle w:val="Compact"/>
              <w:jc w:val="left"/>
            </w:pPr>
            <w:r>
              <w:t xml:space="preserve">Clarity of fee structure and billing practices.</w:t>
            </w:r>
          </w:p>
        </w:tc>
        <w:tc>
          <w:tcPr/>
          <w:p>
            <w:pPr>
              <w:pStyle w:val="Compact"/>
              <w:jc w:val="left"/>
            </w:pPr>
            <w:r>
              <w:t xml:space="preserve">Yes/No + Comments</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strictly to the ethical guidelines set forth by the Osaka Bar Association and international research standards.</w:t>
      </w:r>
    </w:p>
    <w:p>
      <w:pPr>
        <w:numPr>
          <w:ilvl w:val="0"/>
          <w:numId w:val="1004"/>
        </w:numPr>
        <w:pStyle w:val="Compact"/>
      </w:pPr>
      <w:r>
        <w:rPr>
          <w:bCs/>
          <w:b/>
        </w:rPr>
        <w:t xml:space="preserve">Confidentiality:</w:t>
      </w:r>
      <w:r>
        <w:t xml:space="preserve"> </w:t>
      </w:r>
      <w:r>
        <w:t xml:space="preserve">All data collected will be anonymized. No personal information regarding the participants or the specific</w:t>
      </w:r>
      <w:r>
        <w:t xml:space="preserve"> </w:t>
      </w:r>
      <w:r>
        <w:rPr>
          <w:bCs/>
          <w:b/>
        </w:rPr>
        <w:t xml:space="preserve">Lawyer</w:t>
      </w:r>
      <w:r>
        <w:t xml:space="preserve"> </w:t>
      </w:r>
      <w:r>
        <w:t xml:space="preserve">firms will be published without consent.</w:t>
      </w:r>
    </w:p>
    <w:p>
      <w:pPr>
        <w:numPr>
          <w:ilvl w:val="0"/>
          <w:numId w:val="1004"/>
        </w:numPr>
        <w:pStyle w:val="Compact"/>
      </w:pPr>
      <w:r>
        <w:rPr>
          <w:bCs/>
          <w:b/>
        </w:rPr>
        <w:t xml:space="preserve">Informed Consent:</w:t>
      </w:r>
      <w:r>
        <w:t xml:space="preserve"> </w:t>
      </w:r>
      <w:r>
        <w:t xml:space="preserve">Participants will be fully informed about the nature of the experiment before engaging with the legal practitioners.</w:t>
      </w:r>
    </w:p>
    <w:p>
      <w:pPr>
        <w:numPr>
          <w:ilvl w:val="0"/>
          <w:numId w:val="1004"/>
        </w:numPr>
        <w:pStyle w:val="Compact"/>
      </w:pPr>
      <w:r>
        <w:rPr>
          <w:bCs/>
          <w:b/>
        </w:rPr>
        <w:t xml:space="preserve">Non-Interference:</w:t>
      </w:r>
      <w:r>
        <w:t xml:space="preserve"> </w:t>
      </w:r>
      <w:r>
        <w:t xml:space="preserve">The experiment will not disrupt the normal operations of the law firms in</w:t>
      </w:r>
      <w:r>
        <w:t xml:space="preserve"> </w:t>
      </w:r>
      <w:r>
        <w:rPr>
          <w:bCs/>
          <w:b/>
        </w:rPr>
        <w:t xml:space="preserve">Japan Osaka</w:t>
      </w:r>
      <w:r>
        <w:t xml:space="preserve">.</w:t>
      </w:r>
    </w:p>
    <w:bookmarkEnd w:id="27"/>
    <w:bookmarkStart w:id="28" w:name="expected-outcomes-and-impact"/>
    <w:p>
      <w:pPr>
        <w:pStyle w:val="Heading2"/>
      </w:pPr>
      <w:r>
        <w:t xml:space="preserve">6. Expected Outcomes and Impact</w:t>
      </w:r>
    </w:p>
    <w:p>
      <w:pPr>
        <w:pStyle w:val="FirstParagraph"/>
      </w:pPr>
      <w:r>
        <w:t xml:space="preserve">We anticipate that this experiment will reveal significant disparities in the quality of legal services available to foreign residents in</w:t>
      </w:r>
      <w:r>
        <w:t xml:space="preserve"> </w:t>
      </w:r>
      <w:r>
        <w:rPr>
          <w:bCs/>
          <w:b/>
        </w:rPr>
        <w:t xml:space="preserve">Japan Osaka</w:t>
      </w:r>
      <w:r>
        <w:t xml:space="preserve">. The findings are expected to highlight the need for better language training and cultural competency programs for</w:t>
      </w:r>
      <w:r>
        <w:t xml:space="preserve"> </w:t>
      </w:r>
      <w:r>
        <w:rPr>
          <w:bCs/>
          <w:b/>
        </w:rPr>
        <w:t xml:space="preserve">Lawyer</w:t>
      </w:r>
      <w:r>
        <w:t xml:space="preserve"> </w:t>
      </w:r>
      <w:r>
        <w:t xml:space="preserve">practitioners in the region.</w:t>
      </w:r>
    </w:p>
    <w:p>
      <w:pPr>
        <w:pStyle w:val="BodyText"/>
      </w:pPr>
      <w:r>
        <w:t xml:space="preserve">Ultimately, this protocol aims to foster a more inclusive legal environment in Osaka, ensuring that all residents, regardless of nationality, have equitable access to high-quality legal representation. The results will be compiled into a comprehensive report to be shared with the Osaka Bar Association and relevant government bodies.</w:t>
      </w:r>
    </w:p>
    <w:bookmarkEnd w:id="28"/>
    <w:bookmarkStart w:id="29" w:name="conclusion"/>
    <w:p>
      <w:pPr>
        <w:pStyle w:val="Heading2"/>
      </w:pPr>
      <w:r>
        <w:t xml:space="preserve">7. Conclusion</w:t>
      </w:r>
    </w:p>
    <w:p>
      <w:pPr>
        <w:pStyle w:val="FirstParagraph"/>
      </w:pPr>
      <w:r>
        <w:t xml:space="preserve">By rigorously applying this</w:t>
      </w:r>
      <w:r>
        <w:t xml:space="preserve"> </w:t>
      </w:r>
      <w:r>
        <w:rPr>
          <w:bCs/>
          <w:b/>
        </w:rPr>
        <w:t xml:space="preserve">Experiment Protocol</w:t>
      </w:r>
      <w:r>
        <w:t xml:space="preserve">, we can gain valuable insights into the intersection of law, language, and culture in</w:t>
      </w:r>
      <w:r>
        <w:t xml:space="preserve"> </w:t>
      </w:r>
      <w:r>
        <w:rPr>
          <w:bCs/>
          <w:b/>
        </w:rPr>
        <w:t xml:space="preserve">Japan Osaka</w:t>
      </w:r>
      <w:r>
        <w:t xml:space="preserve">. The role of the</w:t>
      </w:r>
      <w:r>
        <w:t xml:space="preserve"> </w:t>
      </w:r>
      <w:r>
        <w:rPr>
          <w:bCs/>
          <w:b/>
        </w:rPr>
        <w:t xml:space="preserve">Lawyer</w:t>
      </w:r>
      <w:r>
        <w:t xml:space="preserve"> </w:t>
      </w:r>
      <w:r>
        <w:t xml:space="preserve">is pivotal in maintaining social order and justice, and understanding how this role is perceived by the international community is essential for the continued global integration of Osaka's legal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Efficacy in Osaka, Japan</dc:title>
  <dc:creator/>
  <dc:language>en</dc:language>
  <cp:keywords/>
  <dcterms:created xsi:type="dcterms:W3CDTF">2026-10-10T09:32:36Z</dcterms:created>
  <dcterms:modified xsi:type="dcterms:W3CDTF">2026-10-10T09:32:36Z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