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Efficiency</w:t>
      </w:r>
      <w:r>
        <w:t xml:space="preserve"> </w:t>
      </w:r>
      <w:r>
        <w:t xml:space="preserve">in</w:t>
      </w:r>
      <w:r>
        <w:t xml:space="preserve"> </w:t>
      </w:r>
      <w:r>
        <w:t xml:space="preserve">Almaty</w:t>
      </w:r>
    </w:p>
    <w:bookmarkStart w:id="30" w:name="X6feeb9cee9f61ccd6cff4d3fda18bfa32c576a2"/>
    <w:p>
      <w:pPr>
        <w:pStyle w:val="Heading1"/>
      </w:pPr>
      <w:r>
        <w:t xml:space="preserve">Experiment Protocol: Comparative Analysis of Legal Consultation Efficiency</w:t>
      </w:r>
    </w:p>
    <w:p>
      <w:pPr>
        <w:pStyle w:val="FirstParagraph"/>
      </w:pPr>
      <w:r>
        <w:rPr>
          <w:bCs/>
          <w:b/>
        </w:rPr>
        <w:t xml:space="preserve">Protocol ID:</w:t>
      </w:r>
      <w:r>
        <w:t xml:space="preserve"> </w:t>
      </w:r>
      <w:r>
        <w:t xml:space="preserve">ALM-LEG-2023-004</w:t>
      </w:r>
    </w:p>
    <w:p>
      <w:pPr>
        <w:pStyle w:val="BodyText"/>
      </w:pPr>
      <w:r>
        <w:rPr>
          <w:bCs/>
          <w:b/>
        </w:rPr>
        <w:t xml:space="preserve">Location:</w:t>
      </w:r>
      <w:r>
        <w:t xml:space="preserve"> </w:t>
      </w:r>
      <w:r>
        <w:t xml:space="preserve">Almaty, Kazakhstan</w:t>
      </w:r>
    </w:p>
    <w:p>
      <w:pPr>
        <w:pStyle w:val="BodyText"/>
      </w:pPr>
      <w:r>
        <w:rPr>
          <w:bCs/>
          <w:b/>
        </w:rPr>
        <w:t xml:space="preserve">Subject:</w:t>
      </w:r>
      <w:r>
        <w:t xml:space="preserve"> </w:t>
      </w:r>
      <w:r>
        <w:t xml:space="preserve">Professional Lawyer Performance and Client Satisfaction</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legal landscape in Kazakhstan has undergone significant modernization in recent years, particularly within the economic hub of Almaty. As the largest city in the country, Almaty hosts a dense concentration of legal professionals, ranging from solo practitioners to large international firms. However, there is a lack of empirical data regarding the efficiency, accessibility, and quality of service provided by a Lawyer in this specific jurisdiction.</w:t>
      </w:r>
    </w:p>
    <w:p>
      <w:pPr>
        <w:pStyle w:val="BodyText"/>
      </w:pPr>
      <w:r>
        <w:t xml:space="preserve">This Experiment Protocol outlines a structured methodology to evaluate the performance of legal practitioners in Almaty. The study aims to quantify the time-to-resolution, cost-effectiveness, and client communication standards of lawyers operating under the current Kazakhstani legal framework. By focusing on Almaty, this experiment seeks to provide actionable insights for both legal consumers and regulatory bodies in Kazakhstan.</w:t>
      </w:r>
    </w:p>
    <w:bookmarkEnd w:id="20"/>
    <w:bookmarkStart w:id="21" w:name="objectives"/>
    <w:p>
      <w:pPr>
        <w:pStyle w:val="Heading2"/>
      </w:pPr>
      <w:r>
        <w:t xml:space="preserve">2. Objectives</w:t>
      </w:r>
    </w:p>
    <w:p>
      <w:pPr>
        <w:pStyle w:val="FirstParagraph"/>
      </w:pPr>
      <w:r>
        <w:t xml:space="preserve">The primary objective of this experiment is to assess the operational efficiency of a Lawyer in Almaty when handling standard civil and commercial disputes. Specific goals include:</w:t>
      </w:r>
    </w:p>
    <w:p>
      <w:pPr>
        <w:numPr>
          <w:ilvl w:val="0"/>
          <w:numId w:val="1001"/>
        </w:numPr>
        <w:pStyle w:val="Compact"/>
      </w:pPr>
      <w:r>
        <w:t xml:space="preserve">To measure the average response time of lawyers in Almaty to initial client inquiries.</w:t>
      </w:r>
    </w:p>
    <w:p>
      <w:pPr>
        <w:numPr>
          <w:ilvl w:val="0"/>
          <w:numId w:val="1001"/>
        </w:numPr>
        <w:pStyle w:val="Compact"/>
      </w:pPr>
      <w:r>
        <w:t xml:space="preserve">To evaluate the accuracy of legal advice provided regarding local regulations in Kazakhstan.</w:t>
      </w:r>
    </w:p>
    <w:p>
      <w:pPr>
        <w:numPr>
          <w:ilvl w:val="0"/>
          <w:numId w:val="1001"/>
        </w:numPr>
        <w:pStyle w:val="Compact"/>
      </w:pPr>
      <w:r>
        <w:t xml:space="preserve">To analyze the transparency of fee structures among different legal providers in the region.</w:t>
      </w:r>
    </w:p>
    <w:p>
      <w:pPr>
        <w:numPr>
          <w:ilvl w:val="0"/>
          <w:numId w:val="1001"/>
        </w:numPr>
        <w:pStyle w:val="Compact"/>
      </w:pPr>
      <w:r>
        <w:t xml:space="preserve">To determine the correlation between a lawyer's specialization and client satisfaction scores.</w:t>
      </w:r>
    </w:p>
    <w:bookmarkEnd w:id="21"/>
    <w:bookmarkStart w:id="25" w:name="scope-and-methodology"/>
    <w:p>
      <w:pPr>
        <w:pStyle w:val="Heading2"/>
      </w:pPr>
      <w:r>
        <w:t xml:space="preserve">3. Scope and Methodology</w:t>
      </w:r>
    </w:p>
    <w:bookmarkStart w:id="22" w:name="study-area"/>
    <w:p>
      <w:pPr>
        <w:pStyle w:val="Heading3"/>
      </w:pPr>
      <w:r>
        <w:t xml:space="preserve">3.1 Study Area</w:t>
      </w:r>
    </w:p>
    <w:p>
      <w:pPr>
        <w:pStyle w:val="FirstParagraph"/>
      </w:pPr>
      <w:r>
        <w:t xml:space="preserve">The experiment is strictly confined to the city of Almaty, Kazakhstan. This includes legal offices located in the central business districts as well as those operating remotely within the city limits. The jurisdictional focus ensures that all legal advice is evaluated against the specific statutes and procedural codes of Kazakhstan.</w:t>
      </w:r>
    </w:p>
    <w:bookmarkEnd w:id="22"/>
    <w:bookmarkStart w:id="23" w:name="subject-selection"/>
    <w:p>
      <w:pPr>
        <w:pStyle w:val="Heading3"/>
      </w:pPr>
      <w:r>
        <w:t xml:space="preserve">3.2 Subject Selection</w:t>
      </w:r>
    </w:p>
    <w:p>
      <w:pPr>
        <w:pStyle w:val="FirstParagraph"/>
      </w:pPr>
      <w:r>
        <w:t xml:space="preserve">Participants in this experiment will be licensed lawyers registered with the Chamber of Advocates of Kazakhstan. A random sampling method will be used to select 50 lawyers from Almaty, ensuring a mix of experience levels (junior, mid-level, senior) and practice areas (corporate, family, criminal, and intellectual property).</w:t>
      </w:r>
    </w:p>
    <w:bookmarkEnd w:id="23"/>
    <w:bookmarkStart w:id="24" w:name="experimental-design"/>
    <w:p>
      <w:pPr>
        <w:pStyle w:val="Heading3"/>
      </w:pPr>
      <w:r>
        <w:t xml:space="preserve">3.3 Experimental Design</w:t>
      </w:r>
    </w:p>
    <w:p>
      <w:pPr>
        <w:pStyle w:val="FirstParagraph"/>
      </w:pPr>
      <w:r>
        <w:t xml:space="preserve">This study utilizes a controlled scenario-based approach. Standardized hypothetical case files will be presented to the selected lawyers. These cases will reflect common legal issues encountered in Almaty, such as contract disputes, property registration issues, and labor law violations.</w:t>
      </w:r>
    </w:p>
    <w:p>
      <w:pPr>
        <w:pStyle w:val="BodyText"/>
      </w:pPr>
      <w:r>
        <w:t xml:space="preserve">The experiment consists of three phases:</w:t>
      </w:r>
    </w:p>
    <w:p>
      <w:pPr>
        <w:numPr>
          <w:ilvl w:val="0"/>
          <w:numId w:val="1002"/>
        </w:numPr>
        <w:pStyle w:val="Compact"/>
      </w:pPr>
      <w:r>
        <w:rPr>
          <w:bCs/>
          <w:b/>
        </w:rPr>
        <w:t xml:space="preserve">Initial Consultation:</w:t>
      </w:r>
      <w:r>
        <w:t xml:space="preserve"> </w:t>
      </w:r>
      <w:r>
        <w:t xml:space="preserve">Measuring the time taken to schedule and conduct the first meeting.</w:t>
      </w:r>
    </w:p>
    <w:p>
      <w:pPr>
        <w:numPr>
          <w:ilvl w:val="0"/>
          <w:numId w:val="1002"/>
        </w:numPr>
        <w:pStyle w:val="Compact"/>
      </w:pPr>
      <w:r>
        <w:rPr>
          <w:bCs/>
          <w:b/>
        </w:rPr>
        <w:t xml:space="preserve">Case Analysis:</w:t>
      </w:r>
      <w:r>
        <w:t xml:space="preserve"> </w:t>
      </w:r>
      <w:r>
        <w:t xml:space="preserve">Evaluating the depth and accuracy of the legal strategy proposed.</w:t>
      </w:r>
    </w:p>
    <w:p>
      <w:pPr>
        <w:numPr>
          <w:ilvl w:val="0"/>
          <w:numId w:val="1002"/>
        </w:numPr>
        <w:pStyle w:val="Compact"/>
      </w:pPr>
      <w:r>
        <w:rPr>
          <w:bCs/>
          <w:b/>
        </w:rPr>
        <w:t xml:space="preserve">Follow-up:</w:t>
      </w:r>
      <w:r>
        <w:t xml:space="preserve"> </w:t>
      </w:r>
      <w:r>
        <w:t xml:space="preserve">Assessing communication frequency and clarity during the simulated case progression.</w:t>
      </w:r>
    </w:p>
    <w:bookmarkEnd w:id="24"/>
    <w:bookmarkEnd w:id="25"/>
    <w:bookmarkStart w:id="26" w:name="data-collection-procedures"/>
    <w:p>
      <w:pPr>
        <w:pStyle w:val="Heading2"/>
      </w:pPr>
      <w:r>
        <w:t xml:space="preserve">4. Data Collection Procedures</w:t>
      </w:r>
    </w:p>
    <w:p>
      <w:pPr>
        <w:pStyle w:val="FirstParagraph"/>
      </w:pPr>
      <w:r>
        <w:t xml:space="preserve">Data will be collected through a combination of quantitative metrics and qualitative assessments.</w:t>
      </w:r>
    </w:p>
    <w:p>
      <w:pPr>
        <w:numPr>
          <w:ilvl w:val="0"/>
          <w:numId w:val="1003"/>
        </w:numPr>
        <w:pStyle w:val="Compact"/>
      </w:pPr>
      <w:r>
        <w:rPr>
          <w:bCs/>
          <w:b/>
        </w:rPr>
        <w:t xml:space="preserve">Time Logs:</w:t>
      </w:r>
      <w:r>
        <w:t xml:space="preserve"> </w:t>
      </w:r>
      <w:r>
        <w:t xml:space="preserve">Precise timestamps will be recorded for every interaction between the client (researcher) and the lawyer.</w:t>
      </w:r>
    </w:p>
    <w:p>
      <w:pPr>
        <w:numPr>
          <w:ilvl w:val="0"/>
          <w:numId w:val="1003"/>
        </w:numPr>
        <w:pStyle w:val="Compact"/>
      </w:pPr>
      <w:r>
        <w:rPr>
          <w:bCs/>
          <w:b/>
        </w:rPr>
        <w:t xml:space="preserve">Cost Analysis:</w:t>
      </w:r>
      <w:r>
        <w:t xml:space="preserve"> </w:t>
      </w:r>
      <w:r>
        <w:t xml:space="preserve">All quoted fees, including hourly rates and fixed costs, will be documented to compare market rates in Almaty.</w:t>
      </w:r>
    </w:p>
    <w:p>
      <w:pPr>
        <w:numPr>
          <w:ilvl w:val="0"/>
          <w:numId w:val="1003"/>
        </w:numPr>
        <w:pStyle w:val="Compact"/>
      </w:pPr>
      <w:r>
        <w:rPr>
          <w:bCs/>
          <w:b/>
        </w:rPr>
        <w:t xml:space="preserve">Quality Rubric:</w:t>
      </w:r>
      <w:r>
        <w:t xml:space="preserve"> </w:t>
      </w:r>
      <w:r>
        <w:t xml:space="preserve">A secondary panel of senior legal experts in Kazakhstan will review the advice given by the participating lawyers to ensure compliance with local laws.</w:t>
      </w:r>
    </w:p>
    <w:p>
      <w:pPr>
        <w:numPr>
          <w:ilvl w:val="0"/>
          <w:numId w:val="1003"/>
        </w:numPr>
        <w:pStyle w:val="Compact"/>
      </w:pPr>
      <w:r>
        <w:rPr>
          <w:bCs/>
          <w:b/>
        </w:rPr>
        <w:t xml:space="preserve">Client Feedback:</w:t>
      </w:r>
      <w:r>
        <w:t xml:space="preserve"> </w:t>
      </w:r>
      <w:r>
        <w:t xml:space="preserve">Standardized surveys will be administered after each phase to gauge perceived professionalism and empathy.</w:t>
      </w:r>
    </w:p>
    <w:bookmarkEnd w:id="26"/>
    <w:bookmarkStart w:id="27" w:name="ethical-considerations-and-compliance"/>
    <w:p>
      <w:pPr>
        <w:pStyle w:val="Heading2"/>
      </w:pPr>
      <w:r>
        <w:t xml:space="preserve">5. Ethical Considerations and Compliance</w:t>
      </w:r>
    </w:p>
    <w:p>
      <w:pPr>
        <w:pStyle w:val="FirstParagraph"/>
      </w:pPr>
      <w:r>
        <w:t xml:space="preserve">This experiment adheres to the ethical standards set forth by the legal profession in Kazakhstan. All participating lawyers will provide informed consent prior to the commencement of the study. The hypothetical cases used in the experiment will be clearly identified as such to prevent any confusion with actual legal proceedings.</w:t>
      </w:r>
    </w:p>
    <w:p>
      <w:pPr>
        <w:pStyle w:val="BodyText"/>
      </w:pPr>
      <w:r>
        <w:t xml:space="preserve">Confidentiality is paramount. Any personal data collected during the experiment will be anonymized and stored securely in accordance with the Law of the Republic of Kazakhstan "On Personal Data and Its Protection." The experiment does not involve real clients or actual litigation, thereby minimizing risk to third parties.</w:t>
      </w:r>
    </w:p>
    <w:bookmarkEnd w:id="27"/>
    <w:bookmarkStart w:id="28" w:name="expected-outcomes-and-impact"/>
    <w:p>
      <w:pPr>
        <w:pStyle w:val="Heading2"/>
      </w:pPr>
      <w:r>
        <w:t xml:space="preserve">6. Expected Outcomes and Impact</w:t>
      </w:r>
    </w:p>
    <w:p>
      <w:pPr>
        <w:pStyle w:val="FirstParagraph"/>
      </w:pPr>
      <w:r>
        <w:t xml:space="preserve">Upon completion, this Experiment Protocol aims to produce a comprehensive report detailing the state of legal services in Almaty. The findings are expected to highlight best practices for lawyers in Kazakhstan and identify areas where regulatory improvements may be necessary.</w:t>
      </w:r>
    </w:p>
    <w:p>
      <w:pPr>
        <w:pStyle w:val="BodyText"/>
      </w:pPr>
      <w:r>
        <w:t xml:space="preserve">For the public, the results will serve as a guide for selecting competent legal representation. For the legal community, the data will offer a benchmark for professional development. Ultimately, this study seeks to enhance the rule of law and increase public trust in the legal system of Almaty and Kazakhstan as a whole.</w:t>
      </w:r>
    </w:p>
    <w:bookmarkEnd w:id="28"/>
    <w:bookmarkStart w:id="29" w:name="timeline"/>
    <w:p>
      <w:pPr>
        <w:pStyle w:val="Heading2"/>
      </w:pPr>
      <w:r>
        <w:t xml:space="preserve">7. Timeline</w:t>
      </w:r>
    </w:p>
    <w:p>
      <w:pPr>
        <w:numPr>
          <w:ilvl w:val="0"/>
          <w:numId w:val="1004"/>
        </w:numPr>
        <w:pStyle w:val="Compact"/>
      </w:pPr>
      <w:r>
        <w:rPr>
          <w:bCs/>
          <w:b/>
        </w:rPr>
        <w:t xml:space="preserve">Phase 1 (Preparation):</w:t>
      </w:r>
      <w:r>
        <w:t xml:space="preserve"> </w:t>
      </w:r>
      <w:r>
        <w:t xml:space="preserve">2 weeks - Recruitment of lawyers and development of case scenarios.</w:t>
      </w:r>
    </w:p>
    <w:p>
      <w:pPr>
        <w:numPr>
          <w:ilvl w:val="0"/>
          <w:numId w:val="1004"/>
        </w:numPr>
        <w:pStyle w:val="Compact"/>
      </w:pPr>
      <w:r>
        <w:rPr>
          <w:bCs/>
          <w:b/>
        </w:rPr>
        <w:t xml:space="preserve">Phase 2 (Execution):</w:t>
      </w:r>
      <w:r>
        <w:t xml:space="preserve"> </w:t>
      </w:r>
      <w:r>
        <w:t xml:space="preserve">8 weeks - Conducting consultations and data collection.</w:t>
      </w:r>
    </w:p>
    <w:p>
      <w:pPr>
        <w:numPr>
          <w:ilvl w:val="0"/>
          <w:numId w:val="1004"/>
        </w:numPr>
        <w:pStyle w:val="Compact"/>
      </w:pPr>
      <w:r>
        <w:rPr>
          <w:bCs/>
          <w:b/>
        </w:rPr>
        <w:t xml:space="preserve">Phase 3 (Analysis):</w:t>
      </w:r>
      <w:r>
        <w:t xml:space="preserve"> </w:t>
      </w:r>
      <w:r>
        <w:t xml:space="preserve">4 weeks - Data processing and expert review.</w:t>
      </w:r>
    </w:p>
    <w:p>
      <w:pPr>
        <w:numPr>
          <w:ilvl w:val="0"/>
          <w:numId w:val="1004"/>
        </w:numPr>
        <w:pStyle w:val="Compact"/>
      </w:pPr>
      <w:r>
        <w:rPr>
          <w:bCs/>
          <w:b/>
        </w:rPr>
        <w:t xml:space="preserve">Phase 4 (Reporting):</w:t>
      </w:r>
      <w:r>
        <w:t xml:space="preserve"> </w:t>
      </w:r>
      <w:r>
        <w:t xml:space="preserve">2 weeks - Finalization of the report and dissemination of results.</w:t>
      </w:r>
    </w:p>
    <w:bookmarkEnd w:id="29"/>
    <w:p>
      <w:pPr>
        <w:pStyle w:val="FirstParagraph"/>
      </w:pPr>
      <w:r>
        <w:rPr>
          <w:bCs/>
          <w:b/>
        </w:rPr>
        <w:t xml:space="preserve">Disclaimer:</w:t>
      </w:r>
      <w:r>
        <w:t xml:space="preserve"> </w:t>
      </w:r>
      <w:r>
        <w:t xml:space="preserve">This document is an experimental protocol for research purposes only. It does not constitute legal advice. All references to laws and regulations pertain to the jurisdiction of Kazakhstan.</w:t>
      </w:r>
    </w:p>
    <w:p>
      <w:pPr>
        <w:pStyle w:val="BodyText"/>
      </w:pPr>
      <w:r>
        <w:t xml:space="preserve">© 2023 Legal Research Initiative, Almaty, Kazakhstan.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Efficiency in Almaty</dc:title>
  <dc:creator/>
  <dc:language>en</dc:language>
  <cp:keywords/>
  <dcterms:created xsi:type="dcterms:W3CDTF">2026-10-10T04:07:01Z</dcterms:created>
  <dcterms:modified xsi:type="dcterms:W3CDTF">2026-10-10T04:07:01Z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