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Nairobi,</w:t>
      </w:r>
      <w:r>
        <w:t xml:space="preserve"> </w:t>
      </w:r>
      <w:r>
        <w:t xml:space="preserve">Kenya</w:t>
      </w:r>
    </w:p>
    <w:bookmarkStart w:id="20" w:name="X9f2f071d2ff7ed6d873fd1b739db97a5e1df064"/>
    <w:p>
      <w:pPr>
        <w:pStyle w:val="Heading1"/>
      </w:pPr>
      <w:r>
        <w:t xml:space="preserve">Experiment Protocol: Enhancing Legal Service Delivery for Lawyers in Nairobi, Kenya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Nairobi, Kenya</w:t>
      </w:r>
      <w:r>
        <w:br/>
      </w:r>
      <w:r>
        <w:rPr>
          <w:bCs/>
          <w:b/>
        </w:rPr>
        <w:t xml:space="preserve">Prepared For:</w:t>
      </w:r>
      <w:r>
        <w:t xml:space="preserve"> </w:t>
      </w:r>
      <w:r>
        <w:t xml:space="preserve">Legal Practitioners and Regulatory Bodies in Kenya</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approach to evaluating and improving the efficiency, accessibility, and quality of legal services provided by lawyers in Nairobi, Kenya. Nairobi, as the capital city and economic hub of Kenya, hosts a significant concentration of legal practitioners, law firms, and judicial institutions. However, challenges such as case backlogs, limited access to legal aid, and inefficiencies in legal processes persist.</w:t>
      </w:r>
    </w:p>
    <w:p>
      <w:pPr>
        <w:pStyle w:val="BodyText"/>
      </w:pPr>
      <w:r>
        <w:t xml:space="preserve">The primary objective of this experiment is to test innovative methods and technologies that can enhance the performance of lawyers in Nairobi while ensuring compliance with Kenyan legal standards and ethical guidelines. This protocol is designed to be adaptable, evidence-based, and focused on practical improvements in legal service delivery.</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Assess the current state of legal service delivery by lawyers in Nairobi, Kenya.</w:t>
      </w:r>
    </w:p>
    <w:p>
      <w:pPr>
        <w:numPr>
          <w:ilvl w:val="0"/>
          <w:numId w:val="1001"/>
        </w:numPr>
        <w:pStyle w:val="Compact"/>
      </w:pPr>
      <w:r>
        <w:t xml:space="preserve">Identify key challenges faced by legal practitioners and their clients.</w:t>
      </w:r>
    </w:p>
    <w:p>
      <w:pPr>
        <w:numPr>
          <w:ilvl w:val="0"/>
          <w:numId w:val="1001"/>
        </w:numPr>
        <w:pStyle w:val="Compact"/>
      </w:pPr>
      <w:r>
        <w:t xml:space="preserve">Test the effectiveness of digital tools and alternative dispute resolution mechanisms in improving legal outcomes.</w:t>
      </w:r>
    </w:p>
    <w:p>
      <w:pPr>
        <w:numPr>
          <w:ilvl w:val="0"/>
          <w:numId w:val="1001"/>
        </w:numPr>
        <w:pStyle w:val="Compact"/>
      </w:pPr>
      <w:r>
        <w:t xml:space="preserve">Develop recommendations for policy and practice improvements tailored to the Nairobi legal environment.</w:t>
      </w:r>
    </w:p>
    <w:bookmarkEnd w:id="22"/>
    <w:bookmarkStart w:id="23" w:name="scope-and-target-population"/>
    <w:p>
      <w:pPr>
        <w:pStyle w:val="Heading2"/>
      </w:pPr>
      <w:r>
        <w:t xml:space="preserve">3. Scope and Target Population</w:t>
      </w:r>
    </w:p>
    <w:p>
      <w:pPr>
        <w:pStyle w:val="FirstParagraph"/>
      </w:pPr>
      <w:r>
        <w:t xml:space="preserve">This experiment will focus on:</w:t>
      </w:r>
    </w:p>
    <w:p>
      <w:pPr>
        <w:numPr>
          <w:ilvl w:val="0"/>
          <w:numId w:val="1002"/>
        </w:numPr>
        <w:pStyle w:val="Compact"/>
      </w:pPr>
      <w:r>
        <w:t xml:space="preserve">Lawyers practicing in Nairobi, including those in private firms, corporate legal departments, and legal aid organizations.</w:t>
      </w:r>
    </w:p>
    <w:p>
      <w:pPr>
        <w:numPr>
          <w:ilvl w:val="0"/>
          <w:numId w:val="1002"/>
        </w:numPr>
        <w:pStyle w:val="Compact"/>
      </w:pPr>
      <w:r>
        <w:t xml:space="preserve">Clients seeking legal services in Nairobi, with emphasis on underserved communities.</w:t>
      </w:r>
    </w:p>
    <w:p>
      <w:pPr>
        <w:numPr>
          <w:ilvl w:val="0"/>
          <w:numId w:val="1002"/>
        </w:numPr>
        <w:pStyle w:val="Compact"/>
      </w:pPr>
      <w:r>
        <w:t xml:space="preserve">Key legal institutions in Nairobi, such as the High Court, Magistrates’ Courts, and the Law Society of Kenya (LSK).</w:t>
      </w:r>
    </w:p>
    <w:p>
      <w:pPr>
        <w:pStyle w:val="FirstParagraph"/>
      </w:pPr>
      <w:r>
        <w:t xml:space="preserve">The scope excludes lawyers practicing outside Nairobi and non-legal professionals, though their indirect impact on legal service delivery will be considered.</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experiment will employ a mixed-methods approach, combining quantitative and qualitative data collection techniques. This design allows for a comprehensive understanding of the legal landscape in Nairobi and the factors influencing lawyer performance.</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administered to lawyers and clients to gather information on service quality, accessibility, and satisfaction levels.</w:t>
      </w:r>
    </w:p>
    <w:p>
      <w:pPr>
        <w:numPr>
          <w:ilvl w:val="0"/>
          <w:numId w:val="1003"/>
        </w:numPr>
        <w:pStyle w:val="Compact"/>
      </w:pPr>
      <w:r>
        <w:rPr>
          <w:bCs/>
          <w:b/>
        </w:rPr>
        <w:t xml:space="preserve">Interviews:</w:t>
      </w:r>
      <w:r>
        <w:t xml:space="preserve"> </w:t>
      </w:r>
      <w:r>
        <w:t xml:space="preserve">In-depth interviews with key stakeholders, including senior lawyers, judges, and legal aid providers, will provide insights into systemic challenges and opportunities.</w:t>
      </w:r>
    </w:p>
    <w:p>
      <w:pPr>
        <w:numPr>
          <w:ilvl w:val="0"/>
          <w:numId w:val="1003"/>
        </w:numPr>
        <w:pStyle w:val="Compact"/>
      </w:pPr>
      <w:r>
        <w:rPr>
          <w:bCs/>
          <w:b/>
        </w:rPr>
        <w:t xml:space="preserve">Case Studies:</w:t>
      </w:r>
      <w:r>
        <w:t xml:space="preserve"> </w:t>
      </w:r>
      <w:r>
        <w:t xml:space="preserve">Selected law firms and legal aid organizations in Nairobi will be analyzed to identify best practices and areas for improvement.</w:t>
      </w:r>
    </w:p>
    <w:p>
      <w:pPr>
        <w:numPr>
          <w:ilvl w:val="0"/>
          <w:numId w:val="1003"/>
        </w:numPr>
        <w:pStyle w:val="Compact"/>
      </w:pPr>
      <w:r>
        <w:rPr>
          <w:bCs/>
          <w:b/>
        </w:rPr>
        <w:t xml:space="preserve">Observations:</w:t>
      </w:r>
      <w:r>
        <w:t xml:space="preserve"> </w:t>
      </w:r>
      <w:r>
        <w:t xml:space="preserve">Direct observations of court proceedings and legal consultations will be conducted to assess procedural efficiency and client interactions.</w:t>
      </w:r>
    </w:p>
    <w:bookmarkEnd w:id="25"/>
    <w:bookmarkStart w:id="26" w:name="intervention"/>
    <w:p>
      <w:pPr>
        <w:pStyle w:val="Heading3"/>
      </w:pPr>
      <w:r>
        <w:t xml:space="preserve">4.3 Intervention</w:t>
      </w:r>
    </w:p>
    <w:p>
      <w:pPr>
        <w:pStyle w:val="FirstParagraph"/>
      </w:pPr>
      <w:r>
        <w:t xml:space="preserve">As part of the experiment, a pilot program will be implemented to test the following interventions:</w:t>
      </w:r>
    </w:p>
    <w:p>
      <w:pPr>
        <w:numPr>
          <w:ilvl w:val="0"/>
          <w:numId w:val="1004"/>
        </w:numPr>
        <w:pStyle w:val="Compact"/>
      </w:pPr>
      <w:r>
        <w:t xml:space="preserve">Introduction of a digital case management system for participating law firms.</w:t>
      </w:r>
    </w:p>
    <w:p>
      <w:pPr>
        <w:numPr>
          <w:ilvl w:val="0"/>
          <w:numId w:val="1004"/>
        </w:numPr>
        <w:pStyle w:val="Compact"/>
      </w:pPr>
      <w:r>
        <w:t xml:space="preserve">Training workshops on alternative dispute resolution (ADR) techniques for lawyers.</w:t>
      </w:r>
    </w:p>
    <w:p>
      <w:pPr>
        <w:numPr>
          <w:ilvl w:val="0"/>
          <w:numId w:val="1004"/>
        </w:numPr>
        <w:pStyle w:val="Compact"/>
      </w:pPr>
      <w:r>
        <w:t xml:space="preserve">Development of a mobile application to connect clients with legal aid services in Nairobi.</w:t>
      </w:r>
    </w:p>
    <w:p>
      <w:pPr>
        <w:pStyle w:val="FirstParagraph"/>
      </w:pPr>
      <w:r>
        <w:t xml:space="preserve">The effectiveness of these interventions will be measured against baseline data collected prior to implementation.</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highest ethical standards, ensuring the protection of participants’ rights and confidentiality.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taking part in the study.</w:t>
      </w:r>
    </w:p>
    <w:p>
      <w:pPr>
        <w:numPr>
          <w:ilvl w:val="0"/>
          <w:numId w:val="1005"/>
        </w:numPr>
        <w:pStyle w:val="Compact"/>
      </w:pPr>
      <w:r>
        <w:rPr>
          <w:bCs/>
          <w:b/>
        </w:rPr>
        <w:t xml:space="preserve">Confidentiality:</w:t>
      </w:r>
      <w:r>
        <w:t xml:space="preserve"> </w:t>
      </w:r>
      <w:r>
        <w:t xml:space="preserve">Personal and case-related information will be anonymized and stored securely.</w:t>
      </w:r>
    </w:p>
    <w:p>
      <w:pPr>
        <w:numPr>
          <w:ilvl w:val="0"/>
          <w:numId w:val="1005"/>
        </w:numPr>
        <w:pStyle w:val="Compact"/>
      </w:pPr>
      <w:r>
        <w:rPr>
          <w:bCs/>
          <w:b/>
        </w:rPr>
        <w:t xml:space="preserve">Compliance:</w:t>
      </w:r>
      <w:r>
        <w:t xml:space="preserve"> </w:t>
      </w:r>
      <w:r>
        <w:t xml:space="preserve">The experiment will comply with Kenyan laws, including the Data Protection Act, 2019, and the Advocates Act.</w:t>
      </w:r>
    </w:p>
    <w:p>
      <w:pPr>
        <w:numPr>
          <w:ilvl w:val="0"/>
          <w:numId w:val="1005"/>
        </w:numPr>
        <w:pStyle w:val="Compact"/>
      </w:pPr>
      <w:r>
        <w:rPr>
          <w:bCs/>
          <w:b/>
        </w:rPr>
        <w:t xml:space="preserve">Equity:</w:t>
      </w:r>
      <w:r>
        <w:t xml:space="preserve"> </w:t>
      </w:r>
      <w:r>
        <w:t xml:space="preserve">Efforts will be made to ensure that the benefits of the experiment are accessible to all segments of society, particularly marginalized groups.</w:t>
      </w:r>
    </w:p>
    <w:bookmarkEnd w:id="28"/>
    <w:bookmarkStart w:id="29" w:name="timeline"/>
    <w:p>
      <w:pPr>
        <w:pStyle w:val="Heading2"/>
      </w:pPr>
      <w:r>
        <w:t xml:space="preserve">6. Timeline</w:t>
      </w:r>
    </w:p>
    <w:p>
      <w:pPr>
        <w:pStyle w:val="FirstParagraph"/>
      </w:pPr>
      <w:r>
        <w:t xml:space="preserve">The experiment will be conducted over a period of 12 months, divided into the following phases:</w:t>
      </w:r>
    </w:p>
    <w:p>
      <w:pPr>
        <w:numPr>
          <w:ilvl w:val="0"/>
          <w:numId w:val="1006"/>
        </w:numPr>
        <w:pStyle w:val="Compact"/>
      </w:pPr>
      <w:r>
        <w:rPr>
          <w:bCs/>
          <w:b/>
        </w:rPr>
        <w:t xml:space="preserve">Phase 1 (Months 1-2):</w:t>
      </w:r>
      <w:r>
        <w:t xml:space="preserve"> </w:t>
      </w:r>
      <w:r>
        <w:t xml:space="preserve">Planning and stakeholder engagement.</w:t>
      </w:r>
    </w:p>
    <w:p>
      <w:pPr>
        <w:numPr>
          <w:ilvl w:val="0"/>
          <w:numId w:val="1006"/>
        </w:numPr>
        <w:pStyle w:val="Compact"/>
      </w:pPr>
      <w:r>
        <w:rPr>
          <w:bCs/>
          <w:b/>
        </w:rPr>
        <w:t xml:space="preserve">Phase 2 (Months 3-4):</w:t>
      </w:r>
      <w:r>
        <w:t xml:space="preserve"> </w:t>
      </w:r>
      <w:r>
        <w:t xml:space="preserve">Baseline data collection.</w:t>
      </w:r>
    </w:p>
    <w:p>
      <w:pPr>
        <w:numPr>
          <w:ilvl w:val="0"/>
          <w:numId w:val="1006"/>
        </w:numPr>
        <w:pStyle w:val="Compact"/>
      </w:pPr>
      <w:r>
        <w:rPr>
          <w:bCs/>
          <w:b/>
        </w:rPr>
        <w:t xml:space="preserve">Phase 3 (Months 5-9):</w:t>
      </w:r>
      <w:r>
        <w:t xml:space="preserve"> </w:t>
      </w:r>
      <w:r>
        <w:t xml:space="preserve">Implementation of interventions.</w:t>
      </w:r>
    </w:p>
    <w:p>
      <w:pPr>
        <w:numPr>
          <w:ilvl w:val="0"/>
          <w:numId w:val="1006"/>
        </w:numPr>
        <w:pStyle w:val="Compact"/>
      </w:pPr>
      <w:r>
        <w:rPr>
          <w:bCs/>
          <w:b/>
        </w:rPr>
        <w:t xml:space="preserve">Phase 4 (Months 10-11):</w:t>
      </w:r>
      <w:r>
        <w:t xml:space="preserve"> </w:t>
      </w:r>
      <w:r>
        <w:t xml:space="preserve">Post-intervention data collection and analysis.</w:t>
      </w:r>
    </w:p>
    <w:p>
      <w:pPr>
        <w:numPr>
          <w:ilvl w:val="0"/>
          <w:numId w:val="1006"/>
        </w:numPr>
        <w:pStyle w:val="Compact"/>
      </w:pPr>
      <w:r>
        <w:rPr>
          <w:bCs/>
          <w:b/>
        </w:rPr>
        <w:t xml:space="preserve">Phase 5 (Month 12):</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The experiment is expected to yield the following outcomes:</w:t>
      </w:r>
    </w:p>
    <w:p>
      <w:pPr>
        <w:numPr>
          <w:ilvl w:val="0"/>
          <w:numId w:val="1007"/>
        </w:numPr>
        <w:pStyle w:val="Compact"/>
      </w:pPr>
      <w:r>
        <w:t xml:space="preserve">Improved efficiency and accessibility of legal services in Nairobi.</w:t>
      </w:r>
    </w:p>
    <w:p>
      <w:pPr>
        <w:numPr>
          <w:ilvl w:val="0"/>
          <w:numId w:val="1007"/>
        </w:numPr>
        <w:pStyle w:val="Compact"/>
      </w:pPr>
      <w:r>
        <w:t xml:space="preserve">Enhanced capacity of lawyers to utilize digital tools and ADR mechanisms.</w:t>
      </w:r>
    </w:p>
    <w:p>
      <w:pPr>
        <w:numPr>
          <w:ilvl w:val="0"/>
          <w:numId w:val="1007"/>
        </w:numPr>
        <w:pStyle w:val="Compact"/>
      </w:pPr>
      <w:r>
        <w:t xml:space="preserve">Increased awareness and utilization of legal aid services among Nairobi residents.</w:t>
      </w:r>
    </w:p>
    <w:p>
      <w:pPr>
        <w:numPr>
          <w:ilvl w:val="0"/>
          <w:numId w:val="1007"/>
        </w:numPr>
        <w:pStyle w:val="Compact"/>
      </w:pPr>
      <w:r>
        <w:t xml:space="preserve">Evidence-based recommendations for policy and practice improvements in the Kenyan legal sector.</w:t>
      </w:r>
    </w:p>
    <w:bookmarkEnd w:id="30"/>
    <w:bookmarkStart w:id="31" w:name="conclusion"/>
    <w:p>
      <w:pPr>
        <w:pStyle w:val="Heading2"/>
      </w:pPr>
      <w:r>
        <w:t xml:space="preserve">8. Conclusion</w:t>
      </w:r>
    </w:p>
    <w:p>
      <w:pPr>
        <w:pStyle w:val="FirstParagraph"/>
      </w:pPr>
      <w:r>
        <w:t xml:space="preserve">This Experiment Protocol provides a comprehensive framework for evaluating and enhancing the performance of lawyers in Nairobi, Kenya. By focusing on innovation, accessibility, and ethical practice, the experiment aims to contribute to the development of a more efficient and equitable legal system in Nairobi. The findings will be shared with relevant stakeholders, including the Law Society of Kenya, the judiciary, and legal practitioners, to inform future initiatives and reforms.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Nairobi, Kenya</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