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Practice</w:t>
      </w:r>
      <w:r>
        <w:t xml:space="preserve"> </w:t>
      </w:r>
      <w:r>
        <w:t xml:space="preserve">in</w:t>
      </w:r>
      <w:r>
        <w:t xml:space="preserve"> </w:t>
      </w:r>
      <w:r>
        <w:t xml:space="preserve">Kuwait</w:t>
      </w:r>
      <w:r>
        <w:t xml:space="preserve"> </w:t>
      </w:r>
      <w:r>
        <w:t xml:space="preserve">City</w:t>
      </w:r>
    </w:p>
    <w:bookmarkStart w:id="30" w:name="X24028c0e833cb2c21c9f4cf339296293d53baac"/>
    <w:p>
      <w:pPr>
        <w:pStyle w:val="Heading1"/>
      </w:pPr>
      <w:r>
        <w:t xml:space="preserve">Experiment Protocol: Evaluation of Legal Service Delivery by a Lawyer in Kuwait City</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efficiency, and client satisfaction levels of a Lawyer operating within the jurisdiction of Kuwait City, Kuwait. The legal landscape in Kuwait is governed by a civil law system influenced by French and Egyptian codes, alongside Sharia law principles in personal status matters. As Kuwait City serves as the commercial and administrative hub of the nation, the demand for high-caliber legal representation is significant. This experiment aims to quantify the effectiveness of legal counsel in navigating the complexities of the Kuwaiti Ministry of Justice and local courts.</w:t>
      </w:r>
    </w:p>
    <w:bookmarkEnd w:id="20"/>
    <w:bookmarkStart w:id="21" w:name="objectives"/>
    <w:p>
      <w:pPr>
        <w:pStyle w:val="Heading2"/>
      </w:pPr>
      <w:r>
        <w:t xml:space="preserve">2. Objectives</w:t>
      </w:r>
    </w:p>
    <w:p>
      <w:pPr>
        <w:pStyle w:val="FirstParagraph"/>
      </w:pPr>
      <w:r>
        <w:t xml:space="preserve">The primary objective of this experiment is to evaluate the operational capabilities of a Lawyer in Kuwait City through a controlled simulation of legal case management. Specific goals include:</w:t>
      </w:r>
    </w:p>
    <w:p>
      <w:pPr>
        <w:numPr>
          <w:ilvl w:val="0"/>
          <w:numId w:val="1001"/>
        </w:numPr>
        <w:pStyle w:val="Compact"/>
      </w:pPr>
      <w:r>
        <w:t xml:space="preserve">Assessing the Lawyer's proficiency in interpreting Kuwaiti commercial and civil codes.</w:t>
      </w:r>
    </w:p>
    <w:p>
      <w:pPr>
        <w:numPr>
          <w:ilvl w:val="0"/>
          <w:numId w:val="1001"/>
        </w:numPr>
        <w:pStyle w:val="Compact"/>
      </w:pPr>
      <w:r>
        <w:t xml:space="preserve">Measuring the turnaround time for document preparation and court filings in Kuwait City.</w:t>
      </w:r>
    </w:p>
    <w:p>
      <w:pPr>
        <w:numPr>
          <w:ilvl w:val="0"/>
          <w:numId w:val="1001"/>
        </w:numPr>
        <w:pStyle w:val="Compact"/>
      </w:pPr>
      <w:r>
        <w:t xml:space="preserve">Evaluating the quality of client communication and advisory services.</w:t>
      </w:r>
    </w:p>
    <w:p>
      <w:pPr>
        <w:numPr>
          <w:ilvl w:val="0"/>
          <w:numId w:val="1001"/>
        </w:numPr>
        <w:pStyle w:val="Compact"/>
      </w:pPr>
      <w:r>
        <w:t xml:space="preserve">Determining the accuracy of legal strategy formulation in hypothetical scenarios relevant to the local market.</w:t>
      </w:r>
    </w:p>
    <w:bookmarkEnd w:id="21"/>
    <w:bookmarkStart w:id="22" w:name="scope-and-location"/>
    <w:p>
      <w:pPr>
        <w:pStyle w:val="Heading2"/>
      </w:pPr>
      <w:r>
        <w:t xml:space="preserve">3. Scope and Location</w:t>
      </w:r>
    </w:p>
    <w:p>
      <w:pPr>
        <w:pStyle w:val="FirstParagraph"/>
      </w:pPr>
      <w:r>
        <w:t xml:space="preserve">The experiment is strictly confined to the geographical and jurisdictional boundaries of Kuwait City. All simulated legal interactions, including court filings and client consultations, will be conducted within the city limits. The Lawyer under evaluation must be licensed to practice before the Kuwaiti courts and registered with the Kuwait Bar Association. The scope covers civil litigation, commercial contract review, and corporate advisory services.</w:t>
      </w:r>
    </w:p>
    <w:bookmarkEnd w:id="22"/>
    <w:bookmarkStart w:id="26" w:name="methodology"/>
    <w:p>
      <w:pPr>
        <w:pStyle w:val="Heading2"/>
      </w:pPr>
      <w:r>
        <w:t xml:space="preserve">4. Methodology</w:t>
      </w:r>
    </w:p>
    <w:p>
      <w:pPr>
        <w:pStyle w:val="FirstParagraph"/>
      </w:pPr>
      <w:r>
        <w:t xml:space="preserve">The experiment will utilize a mixed-methods approach, combining quantitative metrics with qualitative assessments. The process is divided into three distinct phases.</w:t>
      </w:r>
    </w:p>
    <w:bookmarkStart w:id="23" w:name="phase-i-case-simulation-setup"/>
    <w:p>
      <w:pPr>
        <w:pStyle w:val="Heading3"/>
      </w:pPr>
      <w:r>
        <w:t xml:space="preserve">4.1 Phase I: Case Simulation Setup</w:t>
      </w:r>
    </w:p>
    <w:p>
      <w:pPr>
        <w:pStyle w:val="FirstParagraph"/>
      </w:pPr>
      <w:r>
        <w:t xml:space="preserve">A panel of senior legal experts will design three complex case scenarios typical of Kuwait City's legal environment:</w:t>
      </w:r>
    </w:p>
    <w:p>
      <w:pPr>
        <w:numPr>
          <w:ilvl w:val="0"/>
          <w:numId w:val="1002"/>
        </w:numPr>
        <w:pStyle w:val="Compact"/>
      </w:pPr>
      <w:r>
        <w:rPr>
          <w:bCs/>
          <w:b/>
        </w:rPr>
        <w:t xml:space="preserve">Scenario A:</w:t>
      </w:r>
      <w:r>
        <w:t xml:space="preserve"> </w:t>
      </w:r>
      <w:r>
        <w:t xml:space="preserve">A commercial dispute involving breach of contract under Kuwaiti Commercial Law.</w:t>
      </w:r>
    </w:p>
    <w:p>
      <w:pPr>
        <w:numPr>
          <w:ilvl w:val="0"/>
          <w:numId w:val="1002"/>
        </w:numPr>
        <w:pStyle w:val="Compact"/>
      </w:pPr>
      <w:r>
        <w:rPr>
          <w:bCs/>
          <w:b/>
        </w:rPr>
        <w:t xml:space="preserve">Scenario B:</w:t>
      </w:r>
      <w:r>
        <w:t xml:space="preserve"> </w:t>
      </w:r>
      <w:r>
        <w:t xml:space="preserve">A real estate transaction dispute requiring interpretation of local property regulations.</w:t>
      </w:r>
    </w:p>
    <w:p>
      <w:pPr>
        <w:numPr>
          <w:ilvl w:val="0"/>
          <w:numId w:val="1002"/>
        </w:numPr>
        <w:pStyle w:val="Compact"/>
      </w:pPr>
      <w:r>
        <w:rPr>
          <w:bCs/>
          <w:b/>
        </w:rPr>
        <w:t xml:space="preserve">Scenario C:</w:t>
      </w:r>
      <w:r>
        <w:t xml:space="preserve"> </w:t>
      </w:r>
      <w:r>
        <w:t xml:space="preserve">A labor law dispute involving expatriate employment rights.</w:t>
      </w:r>
    </w:p>
    <w:p>
      <w:pPr>
        <w:pStyle w:val="FirstParagraph"/>
      </w:pPr>
      <w:r>
        <w:t xml:space="preserve">The Lawyer will be presented with these scenarios and required to develop a comprehensive legal strategy for each.</w:t>
      </w:r>
    </w:p>
    <w:bookmarkEnd w:id="23"/>
    <w:bookmarkStart w:id="24" w:name="phase-ii-execution-and-monitoring"/>
    <w:p>
      <w:pPr>
        <w:pStyle w:val="Heading3"/>
      </w:pPr>
      <w:r>
        <w:t xml:space="preserve">4.2 Phase II: Execution and Monitoring</w:t>
      </w:r>
    </w:p>
    <w:p>
      <w:pPr>
        <w:pStyle w:val="FirstParagraph"/>
      </w:pPr>
      <w:r>
        <w:t xml:space="preserve">During this phase, the Lawyer will execute the strategies developed in Phase I. The experiment monitors the following key performance indicators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Description</w:t>
            </w:r>
          </w:p>
        </w:tc>
        <w:tc>
          <w:tcPr/>
          <w:p>
            <w:pPr>
              <w:pStyle w:val="Compact"/>
              <w:jc w:val="left"/>
            </w:pPr>
            <w:r>
              <w:t xml:space="preserve">Target Metric</w:t>
            </w:r>
          </w:p>
        </w:tc>
      </w:tr>
      <w:tr>
        <w:tc>
          <w:tcPr/>
          <w:p>
            <w:pPr>
              <w:pStyle w:val="Compact"/>
              <w:jc w:val="left"/>
            </w:pPr>
            <w:r>
              <w:t xml:space="preserve">Response Time</w:t>
            </w:r>
          </w:p>
        </w:tc>
        <w:tc>
          <w:tcPr/>
          <w:p>
            <w:pPr>
              <w:pStyle w:val="Compact"/>
              <w:jc w:val="left"/>
            </w:pPr>
            <w:r>
              <w:t xml:space="preserve">Time taken to respond to client inquiries.</w:t>
            </w:r>
          </w:p>
        </w:tc>
        <w:tc>
          <w:tcPr/>
          <w:p>
            <w:pPr>
              <w:pStyle w:val="Compact"/>
              <w:jc w:val="left"/>
            </w:pPr>
            <w:r>
              <w:t xml:space="preserve">Less than 4 hours</w:t>
            </w:r>
          </w:p>
        </w:tc>
      </w:tr>
      <w:tr>
        <w:tc>
          <w:tcPr/>
          <w:p>
            <w:pPr>
              <w:pStyle w:val="Compact"/>
              <w:jc w:val="left"/>
            </w:pPr>
            <w:r>
              <w:t xml:space="preserve">Document Accuracy</w:t>
            </w:r>
          </w:p>
        </w:tc>
        <w:tc>
          <w:tcPr/>
          <w:p>
            <w:pPr>
              <w:pStyle w:val="Compact"/>
              <w:jc w:val="left"/>
            </w:pPr>
            <w:r>
              <w:t xml:space="preserve">Error rate in legal filings and contracts.</w:t>
            </w:r>
          </w:p>
        </w:tc>
        <w:tc>
          <w:tcPr/>
          <w:p>
            <w:pPr>
              <w:pStyle w:val="Compact"/>
              <w:jc w:val="left"/>
            </w:pPr>
            <w:r>
              <w:t xml:space="preserve">0% Critical Errors</w:t>
            </w:r>
          </w:p>
        </w:tc>
      </w:tr>
      <w:tr>
        <w:tc>
          <w:tcPr/>
          <w:p>
            <w:pPr>
              <w:pStyle w:val="Compact"/>
              <w:jc w:val="left"/>
            </w:pPr>
            <w:r>
              <w:t xml:space="preserve">Regulatory Compliance</w:t>
            </w:r>
          </w:p>
        </w:tc>
        <w:tc>
          <w:tcPr/>
          <w:p>
            <w:pPr>
              <w:pStyle w:val="Compact"/>
              <w:jc w:val="left"/>
            </w:pPr>
            <w:r>
              <w:t xml:space="preserve">Adherence to Kuwaiti procedural laws.</w:t>
            </w:r>
          </w:p>
        </w:tc>
        <w:tc>
          <w:tcPr/>
          <w:p>
            <w:pPr>
              <w:pStyle w:val="Compact"/>
              <w:jc w:val="left"/>
            </w:pPr>
            <w:r>
              <w:t xml:space="preserve">100% Compliance</w:t>
            </w:r>
          </w:p>
        </w:tc>
      </w:tr>
    </w:tbl>
    <w:bookmarkEnd w:id="24"/>
    <w:bookmarkStart w:id="25" w:name="phase-iii-client-feedback-and-review"/>
    <w:p>
      <w:pPr>
        <w:pStyle w:val="Heading3"/>
      </w:pPr>
      <w:r>
        <w:t xml:space="preserve">4.3 Phase III: Client Feedback and Review</w:t>
      </w:r>
    </w:p>
    <w:p>
      <w:pPr>
        <w:pStyle w:val="FirstParagraph"/>
      </w:pPr>
      <w:r>
        <w:t xml:space="preserve">Simulated clients will provide feedback on the Lawyer's professionalism, clarity of explanation, and overall satisfaction. This data will be aggregated to form a Client Satisfaction Score (CSS).</w:t>
      </w:r>
    </w:p>
    <w:bookmarkEnd w:id="25"/>
    <w:bookmarkEnd w:id="26"/>
    <w:bookmarkStart w:id="27" w:name="X53d39ee4fcae7b306cd54c98b15b474cb83728c"/>
    <w:p>
      <w:pPr>
        <w:pStyle w:val="Heading2"/>
      </w:pPr>
      <w:r>
        <w:t xml:space="preserve">5. Ethical Considerations and Confidentiality</w:t>
      </w:r>
    </w:p>
    <w:p>
      <w:pPr>
        <w:pStyle w:val="FirstParagraph"/>
      </w:pPr>
      <w:r>
        <w:t xml:space="preserve">Given the sensitive nature of legal practice, strict ethical guidelines must be followed. All data collected during the experiment must be anonymized. The Lawyer must adhere to the Code of Professional Conduct for Lawyers in Kuwait. No real client data will be used; all cases are hypothetical. The experiment must respect the privacy laws of Kuwait and ensure that no confidential information is disclosed outside the evaluation panel.</w:t>
      </w:r>
    </w:p>
    <w:bookmarkEnd w:id="27"/>
    <w:bookmarkStart w:id="28" w:name="data-analysis"/>
    <w:p>
      <w:pPr>
        <w:pStyle w:val="Heading2"/>
      </w:pPr>
      <w:r>
        <w:t xml:space="preserve">6. Data Analysis</w:t>
      </w:r>
    </w:p>
    <w:p>
      <w:pPr>
        <w:pStyle w:val="FirstParagraph"/>
      </w:pPr>
      <w:r>
        <w:t xml:space="preserve">Data will be analyzed using statistical methods to determine the significance of the results. The performance of the Lawyer will be benchmarked against industry standards in Kuwait City. Qualitative feedback will be coded to identify recurring themes in client satisfaction and areas for improvement. The final report will provide a comprehensive evaluation of the Lawyer's suitability for high-stakes legal representation in Kuwait.</w:t>
      </w:r>
    </w:p>
    <w:bookmarkEnd w:id="28"/>
    <w:bookmarkStart w:id="29" w:name="conclusion"/>
    <w:p>
      <w:pPr>
        <w:pStyle w:val="Heading2"/>
      </w:pPr>
      <w:r>
        <w:t xml:space="preserve">7. Conclusion</w:t>
      </w:r>
    </w:p>
    <w:p>
      <w:pPr>
        <w:pStyle w:val="FirstParagraph"/>
      </w:pPr>
      <w:r>
        <w:t xml:space="preserve">This Experiment Protocol provides a rigorous framework for evaluating the competence of a Lawyer in Kuwait City. By focusing on practical application, regulatory compliance, and client satisfaction, the experiment ensures a holistic assessment of legal service delivery. The findings will contribute to the broader understanding of legal practice standards in Kuwait and help stakeholders make informed decisions regarding legal representation.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Practice in Kuwait City</dc:title>
  <dc:creator/>
  <dc:language>en</dc:language>
  <cp:keywords/>
  <dcterms:created xsi:type="dcterms:W3CDTF">2026-10-10T01:54:07Z</dcterms:created>
  <dcterms:modified xsi:type="dcterms:W3CDTF">2026-10-10T01:54:07Z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