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Kuala</w:t>
      </w:r>
      <w:r>
        <w:t xml:space="preserve"> </w:t>
      </w:r>
      <w:r>
        <w:t xml:space="preserve">Lumpur</w:t>
      </w:r>
    </w:p>
    <w:bookmarkStart w:id="20" w:name="X6feeb9cee9f61ccd6cff4d3fda18bfa32c576a2"/>
    <w:p>
      <w:pPr>
        <w:pStyle w:val="Heading1"/>
      </w:pPr>
      <w:r>
        <w:t xml:space="preserve">Experiment Protocol: Comparative Analysis of Legal Consultation Efficiency</w:t>
      </w:r>
    </w:p>
    <w:p>
      <w:pPr>
        <w:pStyle w:val="FirstParagraph"/>
      </w:pPr>
      <w:r>
        <w:rPr>
          <w:bCs/>
          <w:b/>
        </w:rPr>
        <w:t xml:space="preserve">Subject:</w:t>
      </w:r>
      <w:r>
        <w:t xml:space="preserve"> </w:t>
      </w:r>
      <w:r>
        <w:t xml:space="preserve">Lawyer Performance and Client Interaction</w:t>
      </w:r>
    </w:p>
    <w:p>
      <w:pPr>
        <w:pStyle w:val="BodyText"/>
      </w:pPr>
      <w:r>
        <w:rPr>
          <w:bCs/>
          <w:b/>
        </w:rPr>
        <w:t xml:space="preserve">Location:</w:t>
      </w:r>
      <w:r>
        <w:t xml:space="preserve"> </w:t>
      </w:r>
      <w:r>
        <w:t xml:space="preserve">Malaysia Kuala Lumpur (KL)</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operational efficiency, communication clarity, and cost-effectiveness of legal practitioners operating within the jurisdiction of Malaysia Kuala Lumpur. The primary objective is to evaluate how a Lawyer in this specific metropolitan context handles standard commercial and civil inquiries compared to established benchmarks.</w:t>
      </w:r>
    </w:p>
    <w:p>
      <w:pPr>
        <w:pStyle w:val="BodyText"/>
      </w:pPr>
      <w:r>
        <w:t xml:space="preserve">Kuala Lumpur serves as the legal and financial hub of Malaysia. Consequently, the legal landscape here is characterized by a blend of English common law, Islamic law (Sharia), and local statutory regulations. This experiment aims to quantify the responsiveness and accuracy of legal advice provided by practitioners in this complex environment.</w:t>
      </w:r>
    </w:p>
    <w:bookmarkEnd w:id="21"/>
    <w:bookmarkStart w:id="22" w:name="scope-and-jurisdiction"/>
    <w:p>
      <w:pPr>
        <w:pStyle w:val="Heading2"/>
      </w:pPr>
      <w:r>
        <w:t xml:space="preserve">2. Scope and Jurisdiction</w:t>
      </w:r>
    </w:p>
    <w:p>
      <w:pPr>
        <w:pStyle w:val="FirstParagraph"/>
      </w:pPr>
      <w:r>
        <w:t xml:space="preserve">The scope of this experiment is strictly limited to legal professionals registered with the Malaysian Bar and practicing within the Federal Territory of Kuala Lumpur. The experiment will focus on three key areas of law prevalent in the KL business sector:</w:t>
      </w:r>
    </w:p>
    <w:p>
      <w:pPr>
        <w:numPr>
          <w:ilvl w:val="0"/>
          <w:numId w:val="1001"/>
        </w:numPr>
        <w:pStyle w:val="Compact"/>
      </w:pPr>
      <w:r>
        <w:t xml:space="preserve">Corporate and Commercial Law (e.g., company formation under the Companies Act 2016).</w:t>
      </w:r>
    </w:p>
    <w:p>
      <w:pPr>
        <w:numPr>
          <w:ilvl w:val="0"/>
          <w:numId w:val="1001"/>
        </w:numPr>
        <w:pStyle w:val="Compact"/>
      </w:pPr>
      <w:r>
        <w:t xml:space="preserve">Property Law (e.g., conveyancing and tenancy agreements).</w:t>
      </w:r>
    </w:p>
    <w:p>
      <w:pPr>
        <w:numPr>
          <w:ilvl w:val="0"/>
          <w:numId w:val="1001"/>
        </w:numPr>
        <w:pStyle w:val="Compact"/>
      </w:pPr>
      <w:r>
        <w:t xml:space="preserve">Employment Law (e.g., termination procedures under the Employment Act 1955).</w:t>
      </w:r>
    </w:p>
    <w:p>
      <w:pPr>
        <w:pStyle w:val="FirstParagraph"/>
      </w:pPr>
      <w:r>
        <w:t xml:space="preserve">Practitioners outside the Kuala Lumpur metropolitan area or those not holding a valid practicing certificate from the Malaysian Bar are excluded from this protocol.</w:t>
      </w:r>
    </w:p>
    <w:bookmarkEnd w:id="22"/>
    <w:bookmarkStart w:id="23" w:name="participant-selection-criteria"/>
    <w:p>
      <w:pPr>
        <w:pStyle w:val="Heading2"/>
      </w:pPr>
      <w:r>
        <w:t xml:space="preserve">3. Participant Selection Criteria</w:t>
      </w:r>
    </w:p>
    <w:p>
      <w:pPr>
        <w:pStyle w:val="FirstParagraph"/>
      </w:pPr>
      <w:r>
        <w:t xml:space="preserve">To ensure the validity of the data regarding the Lawyer's performance, participants must meet the following criteria:</w:t>
      </w:r>
    </w:p>
    <w:p>
      <w:pPr>
        <w:numPr>
          <w:ilvl w:val="0"/>
          <w:numId w:val="1002"/>
        </w:numPr>
        <w:pStyle w:val="Compact"/>
      </w:pPr>
      <w:r>
        <w:rPr>
          <w:bCs/>
          <w:b/>
        </w:rPr>
        <w:t xml:space="preserve">Registration:</w:t>
      </w:r>
      <w:r>
        <w:t xml:space="preserve"> </w:t>
      </w:r>
      <w:r>
        <w:t xml:space="preserve">Must be a qualified Advocate and Solicitor of the High Court of Malaya.</w:t>
      </w:r>
    </w:p>
    <w:p>
      <w:pPr>
        <w:numPr>
          <w:ilvl w:val="0"/>
          <w:numId w:val="1002"/>
        </w:numPr>
        <w:pStyle w:val="Compact"/>
      </w:pPr>
      <w:r>
        <w:rPr>
          <w:bCs/>
          <w:b/>
        </w:rPr>
        <w:t xml:space="preserve">Location:</w:t>
      </w:r>
      <w:r>
        <w:t xml:space="preserve"> </w:t>
      </w:r>
      <w:r>
        <w:t xml:space="preserve">Primary office must be located within Kuala Lumpur city limits.</w:t>
      </w:r>
    </w:p>
    <w:p>
      <w:pPr>
        <w:numPr>
          <w:ilvl w:val="0"/>
          <w:numId w:val="1002"/>
        </w:numPr>
        <w:pStyle w:val="Compact"/>
      </w:pPr>
      <w:r>
        <w:rPr>
          <w:bCs/>
          <w:b/>
        </w:rPr>
        <w:t xml:space="preserve">Experience:</w:t>
      </w:r>
      <w:r>
        <w:t xml:space="preserve"> </w:t>
      </w:r>
      <w:r>
        <w:t xml:space="preserve">Minimum of three years of post-call experience.</w:t>
      </w:r>
    </w:p>
    <w:p>
      <w:pPr>
        <w:numPr>
          <w:ilvl w:val="0"/>
          <w:numId w:val="1002"/>
        </w:numPr>
        <w:pStyle w:val="Compact"/>
      </w:pPr>
      <w:r>
        <w:rPr>
          <w:bCs/>
          <w:b/>
        </w:rPr>
        <w:t xml:space="preserve">Language:</w:t>
      </w:r>
      <w:r>
        <w:t xml:space="preserve"> </w:t>
      </w:r>
      <w:r>
        <w:t xml:space="preserve">Proficiency in English is mandatory, as it is the primary language of the courts and business in KL.</w:t>
      </w:r>
    </w:p>
    <w:bookmarkEnd w:id="23"/>
    <w:bookmarkStart w:id="26" w:name="experimental-methodology"/>
    <w:p>
      <w:pPr>
        <w:pStyle w:val="Heading2"/>
      </w:pPr>
      <w:r>
        <w:t xml:space="preserve">4. Experimental Methodology</w:t>
      </w:r>
    </w:p>
    <w:p>
      <w:pPr>
        <w:pStyle w:val="FirstParagraph"/>
      </w:pPr>
      <w:r>
        <w:t xml:space="preserve">The experiment utilizes a "Mystery Client" approach. Standardized hypothetical scenarios will be presented to selected Lawyers to measure their response time, accuracy, and fee transparency.</w:t>
      </w:r>
    </w:p>
    <w:bookmarkStart w:id="24" w:name="scenario-design"/>
    <w:p>
      <w:pPr>
        <w:pStyle w:val="Heading3"/>
      </w:pPr>
      <w:r>
        <w:t xml:space="preserve">4.1 Scenario Design</w:t>
      </w:r>
    </w:p>
    <w:p>
      <w:pPr>
        <w:pStyle w:val="FirstParagraph"/>
      </w:pPr>
      <w:r>
        <w:t xml:space="preserve">Three distinct scenarios will be used, each reflecting common legal issues in Malaysia Kuala Lumpur:</w:t>
      </w:r>
    </w:p>
    <w:p>
      <w:pPr>
        <w:numPr>
          <w:ilvl w:val="0"/>
          <w:numId w:val="1003"/>
        </w:numPr>
        <w:pStyle w:val="Compact"/>
      </w:pPr>
      <w:r>
        <w:rPr>
          <w:bCs/>
          <w:b/>
        </w:rPr>
        <w:t xml:space="preserve">Scenario A:</w:t>
      </w:r>
      <w:r>
        <w:t xml:space="preserve"> </w:t>
      </w:r>
      <w:r>
        <w:t xml:space="preserve">A startup seeking to register a Private Limited (Sdn Bhd) company and requires advice on shareholding structures.</w:t>
      </w:r>
    </w:p>
    <w:p>
      <w:pPr>
        <w:numPr>
          <w:ilvl w:val="0"/>
          <w:numId w:val="1003"/>
        </w:numPr>
        <w:pStyle w:val="Compact"/>
      </w:pPr>
      <w:r>
        <w:rPr>
          <w:bCs/>
          <w:b/>
        </w:rPr>
        <w:t xml:space="preserve">Scenario B:</w:t>
      </w:r>
      <w:r>
        <w:t xml:space="preserve"> </w:t>
      </w:r>
      <w:r>
        <w:t xml:space="preserve">A tenant facing an unlawful eviction notice in a high-rise condominium in Mont Kiara.</w:t>
      </w:r>
    </w:p>
    <w:p>
      <w:pPr>
        <w:numPr>
          <w:ilvl w:val="0"/>
          <w:numId w:val="1003"/>
        </w:numPr>
        <w:pStyle w:val="Compact"/>
      </w:pPr>
      <w:r>
        <w:rPr>
          <w:bCs/>
          <w:b/>
        </w:rPr>
        <w:t xml:space="preserve">Scenario C:</w:t>
      </w:r>
      <w:r>
        <w:t xml:space="preserve"> </w:t>
      </w:r>
      <w:r>
        <w:t xml:space="preserve">An employer seeking to terminate a contract for an employee with less than two years of service.</w:t>
      </w:r>
    </w:p>
    <w:bookmarkEnd w:id="24"/>
    <w:bookmarkStart w:id="25" w:name="procedure"/>
    <w:p>
      <w:pPr>
        <w:pStyle w:val="Heading3"/>
      </w:pPr>
      <w:r>
        <w:t xml:space="preserve">4.2 Procedure</w:t>
      </w:r>
    </w:p>
    <w:p>
      <w:pPr>
        <w:pStyle w:val="FirstParagraph"/>
      </w:pPr>
      <w:r>
        <w:t xml:space="preserve">The procedure for each interaction with the Lawyer is as follows:</w:t>
      </w:r>
    </w:p>
    <w:p>
      <w:pPr>
        <w:numPr>
          <w:ilvl w:val="0"/>
          <w:numId w:val="1004"/>
        </w:numPr>
        <w:pStyle w:val="Compact"/>
      </w:pPr>
      <w:r>
        <w:rPr>
          <w:bCs/>
          <w:b/>
        </w:rPr>
        <w:t xml:space="preserve">Initial Contact:</w:t>
      </w:r>
      <w:r>
        <w:t xml:space="preserve"> </w:t>
      </w:r>
      <w:r>
        <w:t xml:space="preserve">The researcher contacts the law firm via email or telephone during standard business hours (9:00 AM to 5:30 PM).</w:t>
      </w:r>
    </w:p>
    <w:p>
      <w:pPr>
        <w:numPr>
          <w:ilvl w:val="0"/>
          <w:numId w:val="1004"/>
        </w:numPr>
        <w:pStyle w:val="Compact"/>
      </w:pPr>
      <w:r>
        <w:rPr>
          <w:bCs/>
          <w:b/>
        </w:rPr>
        <w:t xml:space="preserve">Query Submission:</w:t>
      </w:r>
      <w:r>
        <w:t xml:space="preserve"> </w:t>
      </w:r>
      <w:r>
        <w:t xml:space="preserve">The researcher presents one of the standardized scenarios.</w:t>
      </w:r>
    </w:p>
    <w:p>
      <w:pPr>
        <w:numPr>
          <w:ilvl w:val="0"/>
          <w:numId w:val="1004"/>
        </w:numPr>
        <w:pStyle w:val="Compact"/>
      </w:pPr>
      <w:r>
        <w:rPr>
          <w:bCs/>
          <w:b/>
        </w:rPr>
        <w:t xml:space="preserve">Response Monitoring:</w:t>
      </w:r>
      <w:r>
        <w:t xml:space="preserve"> </w:t>
      </w:r>
      <w:r>
        <w:t xml:space="preserve">The time taken for the Lawyer or their representative to respond is recorded.</w:t>
      </w:r>
    </w:p>
    <w:p>
      <w:pPr>
        <w:numPr>
          <w:ilvl w:val="0"/>
          <w:numId w:val="1004"/>
        </w:numPr>
        <w:pStyle w:val="Compact"/>
      </w:pPr>
      <w:r>
        <w:rPr>
          <w:bCs/>
          <w:b/>
        </w:rPr>
        <w:t xml:space="preserve">Consultation:</w:t>
      </w:r>
      <w:r>
        <w:t xml:space="preserve"> </w:t>
      </w:r>
      <w:r>
        <w:t xml:space="preserve">A brief consultation is conducted to assess the quality of advice.</w:t>
      </w:r>
    </w:p>
    <w:p>
      <w:pPr>
        <w:numPr>
          <w:ilvl w:val="0"/>
          <w:numId w:val="1004"/>
        </w:numPr>
        <w:pStyle w:val="Compact"/>
      </w:pPr>
      <w:r>
        <w:rPr>
          <w:bCs/>
          <w:b/>
        </w:rPr>
        <w:t xml:space="preserve">Fee Inquiry:</w:t>
      </w:r>
      <w:r>
        <w:t xml:space="preserve"> </w:t>
      </w:r>
      <w:r>
        <w:t xml:space="preserve">The researcher requests a detailed breakdown of professional fees and disbursements.</w:t>
      </w:r>
    </w:p>
    <w:bookmarkEnd w:id="25"/>
    <w:bookmarkEnd w:id="26"/>
    <w:bookmarkStart w:id="31" w:name="data-collection-and-metrics"/>
    <w:p>
      <w:pPr>
        <w:pStyle w:val="Heading2"/>
      </w:pPr>
      <w:r>
        <w:t xml:space="preserve">5. Data Collection and Metrics</w:t>
      </w:r>
    </w:p>
    <w:p>
      <w:pPr>
        <w:pStyle w:val="FirstParagraph"/>
      </w:pPr>
      <w:r>
        <w:t xml:space="preserve">Data will be collected using a standardized scoring rubric. The following metrics are critical for evaluating the Lawyer's performance in the context of Malaysia Kuala Lumpur:</w:t>
      </w:r>
    </w:p>
    <w:bookmarkStart w:id="27" w:name="responsiveness"/>
    <w:p>
      <w:pPr>
        <w:pStyle w:val="Heading3"/>
      </w:pPr>
      <w:r>
        <w:t xml:space="preserve">5.1 Responsiveness</w:t>
      </w:r>
    </w:p>
    <w:p>
      <w:pPr>
        <w:pStyle w:val="FirstParagraph"/>
      </w:pPr>
      <w:r>
        <w:t xml:space="preserve">Measured in hours. In the fast-paced environment of KL, a response time of less than 24 hours is considered optimal. Delays beyond 48 hours will be flagged as a negative indicator.</w:t>
      </w:r>
    </w:p>
    <w:bookmarkEnd w:id="27"/>
    <w:bookmarkStart w:id="28" w:name="legal-accuracy"/>
    <w:p>
      <w:pPr>
        <w:pStyle w:val="Heading3"/>
      </w:pPr>
      <w:r>
        <w:t xml:space="preserve">5.2 Legal Accuracy</w:t>
      </w:r>
    </w:p>
    <w:p>
      <w:pPr>
        <w:pStyle w:val="FirstParagraph"/>
      </w:pPr>
      <w:r>
        <w:t xml:space="preserve">Assessed by a senior legal expert. The advice provided must align with current Malaysian statutes and case law. Any advice that contradicts the Legal Profession Act 1976 or relevant local regulations will result in a disqualification.</w:t>
      </w:r>
    </w:p>
    <w:bookmarkEnd w:id="28"/>
    <w:bookmarkStart w:id="29" w:name="fee-transparency"/>
    <w:p>
      <w:pPr>
        <w:pStyle w:val="Heading3"/>
      </w:pPr>
      <w:r>
        <w:t xml:space="preserve">5.3 Fee Transparency</w:t>
      </w:r>
    </w:p>
    <w:p>
      <w:pPr>
        <w:pStyle w:val="FirstParagraph"/>
      </w:pPr>
      <w:r>
        <w:t xml:space="preserve">The Lawyer must provide a clear estimate of costs. Hidden fees or vague descriptions of disbursements (such as stamp duties or government filing fees) will be penalized. Compliance with the Solicitors' Remuneration Order 2005 is expected.</w:t>
      </w:r>
    </w:p>
    <w:bookmarkEnd w:id="29"/>
    <w:bookmarkStart w:id="30" w:name="communication-clarity"/>
    <w:p>
      <w:pPr>
        <w:pStyle w:val="Heading3"/>
      </w:pPr>
      <w:r>
        <w:t xml:space="preserve">5.4 Communication Clarity</w:t>
      </w:r>
    </w:p>
    <w:p>
      <w:pPr>
        <w:pStyle w:val="FirstParagraph"/>
      </w:pPr>
      <w:r>
        <w:t xml:space="preserve">The ability of the Lawyer to explain complex legal concepts in plain English is vital. Jargon-heavy responses that fail to address the client's core concern will score lower.</w:t>
      </w:r>
    </w:p>
    <w:bookmarkEnd w:id="30"/>
    <w:bookmarkEnd w:id="31"/>
    <w:bookmarkStart w:id="32" w:name="ethical-considerations-and-compliance"/>
    <w:p>
      <w:pPr>
        <w:pStyle w:val="Heading2"/>
      </w:pPr>
      <w:r>
        <w:t xml:space="preserve">6. Ethical Considerations and Compliance</w:t>
      </w:r>
    </w:p>
    <w:p>
      <w:pPr>
        <w:pStyle w:val="FirstParagraph"/>
      </w:pPr>
      <w:r>
        <w:t xml:space="preserve">This experiment must adhere to strict ethical guidelines to protect the integrity of the legal profession in Malaysia.</w:t>
      </w:r>
    </w:p>
    <w:p>
      <w:pPr>
        <w:numPr>
          <w:ilvl w:val="0"/>
          <w:numId w:val="1005"/>
        </w:numPr>
        <w:pStyle w:val="Compact"/>
      </w:pPr>
      <w:r>
        <w:rPr>
          <w:bCs/>
          <w:b/>
        </w:rPr>
        <w:t xml:space="preserve">Confidentiality:</w:t>
      </w:r>
      <w:r>
        <w:t xml:space="preserve"> </w:t>
      </w:r>
      <w:r>
        <w:t xml:space="preserve">All data collected will be anonymized. The names of the participating Lawyers and firms will not be published in the final report.</w:t>
      </w:r>
    </w:p>
    <w:p>
      <w:pPr>
        <w:numPr>
          <w:ilvl w:val="0"/>
          <w:numId w:val="1005"/>
        </w:numPr>
        <w:pStyle w:val="Compact"/>
      </w:pPr>
      <w:r>
        <w:rPr>
          <w:bCs/>
          <w:b/>
        </w:rPr>
        <w:t xml:space="preserve">No Actual Representation:</w:t>
      </w:r>
      <w:r>
        <w:t xml:space="preserve"> </w:t>
      </w:r>
      <w:r>
        <w:t xml:space="preserve">The "Mystery Client" will not engage the Lawyer for actual legal work. The interaction is strictly for research purposes.</w:t>
      </w:r>
    </w:p>
    <w:p>
      <w:pPr>
        <w:numPr>
          <w:ilvl w:val="0"/>
          <w:numId w:val="1005"/>
        </w:numPr>
        <w:pStyle w:val="Compact"/>
      </w:pPr>
      <w:r>
        <w:rPr>
          <w:bCs/>
          <w:b/>
        </w:rPr>
        <w:t xml:space="preserve">Regulatory Compliance:</w:t>
      </w:r>
      <w:r>
        <w:t xml:space="preserve"> </w:t>
      </w:r>
      <w:r>
        <w:t xml:space="preserve">The experiment will not violate any rules set by the Malaysian Bar Council regarding the solicitation of clients or the conduct of legal practitioners.</w:t>
      </w:r>
    </w:p>
    <w:bookmarkEnd w:id="32"/>
    <w:bookmarkStart w:id="33" w:name="risk-management"/>
    <w:p>
      <w:pPr>
        <w:pStyle w:val="Heading2"/>
      </w:pPr>
      <w:r>
        <w:t xml:space="preserve">7. Risk Management</w:t>
      </w:r>
    </w:p>
    <w:p>
      <w:pPr>
        <w:pStyle w:val="FirstParagraph"/>
      </w:pPr>
      <w:r>
        <w:t xml:space="preserve">Potential risks include the possibility of a Lawyer recognizing the inquiry as a test, which may alter their behavior (the Hawthorne Effect). To mitigate this, the scenarios will be presented as genuine client inquiries. Additionally, there is a risk of misinterpretation of legal advice; therefore, all interactions will be documented via email to ensure an accurate record of the Lawyer's statements.</w:t>
      </w:r>
    </w:p>
    <w:bookmarkEnd w:id="33"/>
    <w:bookmarkStart w:id="34" w:name="conclusion-and-reporting"/>
    <w:p>
      <w:pPr>
        <w:pStyle w:val="Heading2"/>
      </w:pPr>
      <w:r>
        <w:t xml:space="preserve">8. Conclusion and Reporting</w:t>
      </w:r>
    </w:p>
    <w:p>
      <w:pPr>
        <w:pStyle w:val="FirstParagraph"/>
      </w:pPr>
      <w:r>
        <w:t xml:space="preserve">Upon completion of the data collection phase, the results will be analyzed to determine the average efficiency and quality of legal services in Malaysia Kuala Lumpur. The final report will provide insights into the strengths and weaknesses of the current legal service delivery model in the region. This information will be valuable for potential clients seeking legal representation and for policymakers looking to improve the regulatory framework for Lawyers in the country.</w:t>
      </w:r>
    </w:p>
    <w:p>
      <w:pPr>
        <w:pStyle w:val="BodyText"/>
      </w:pPr>
      <w:r>
        <w:t xml:space="preserve">This protocol is subject to review and modification based on preliminary findings and changes in Malaysian legal regulations.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Kuala Lumpur</dc:title>
  <dc:creator/>
  <dc:language>en</dc:language>
  <cp:keywords/>
  <dcterms:created xsi:type="dcterms:W3CDTF">2026-10-10T03:39:51Z</dcterms:created>
  <dcterms:modified xsi:type="dcterms:W3CDTF">2026-10-10T03:39:51Z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