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Legal</w:t>
      </w:r>
      <w:r>
        <w:t xml:space="preserve"> </w:t>
      </w:r>
      <w:r>
        <w:t xml:space="preserve">Practice</w:t>
      </w:r>
      <w:r>
        <w:t xml:space="preserve"> </w:t>
      </w:r>
      <w:r>
        <w:t xml:space="preserve">in</w:t>
      </w:r>
      <w:r>
        <w:t xml:space="preserve"> </w:t>
      </w:r>
      <w:r>
        <w:t xml:space="preserve">Mexico</w:t>
      </w:r>
      <w:r>
        <w:t xml:space="preserve"> </w:t>
      </w:r>
      <w:r>
        <w:t xml:space="preserve">City</w:t>
      </w:r>
    </w:p>
    <w:bookmarkStart w:id="33" w:name="X9f5f9269c6328133b3c22f87de6192e529cc595"/>
    <w:p>
      <w:pPr>
        <w:pStyle w:val="Heading1"/>
      </w:pPr>
      <w:r>
        <w:t xml:space="preserve">Experiment Protocol: Comparative Analysis of Legal Service Delivery Models</w:t>
      </w:r>
    </w:p>
    <w:p>
      <w:pPr>
        <w:pStyle w:val="FirstParagraph"/>
      </w:pPr>
      <w:r>
        <w:rPr>
          <w:bCs/>
          <w:b/>
        </w:rPr>
        <w:t xml:space="preserve">Protocol ID:</w:t>
      </w:r>
      <w:r>
        <w:t xml:space="preserve"> </w:t>
      </w:r>
      <w:r>
        <w:t xml:space="preserve">MX-CMX-LEG-2024-001</w:t>
      </w:r>
    </w:p>
    <w:p>
      <w:pPr>
        <w:pStyle w:val="BodyText"/>
      </w:pPr>
      <w:r>
        <w:rPr>
          <w:bCs/>
          <w:b/>
        </w:rPr>
        <w:t xml:space="preserve">Title:</w:t>
      </w:r>
      <w:r>
        <w:t xml:space="preserve"> </w:t>
      </w:r>
      <w:r>
        <w:t xml:space="preserve">Efficiency and Client Satisfaction in Legal Practice within Mexico City</w:t>
      </w:r>
    </w:p>
    <w:p>
      <w:pPr>
        <w:pStyle w:val="BodyText"/>
      </w:pPr>
      <w:r>
        <w:rPr>
          <w:bCs/>
          <w:b/>
        </w:rPr>
        <w:t xml:space="preserve">Location:</w:t>
      </w:r>
      <w:r>
        <w:t xml:space="preserve"> </w:t>
      </w:r>
      <w:r>
        <w:t xml:space="preserve">Mexico City (Ciudad de México), Mexico</w:t>
      </w:r>
    </w:p>
    <w:p>
      <w:pPr>
        <w:pStyle w:val="BodyText"/>
      </w:pPr>
      <w:r>
        <w:rPr>
          <w:bCs/>
          <w:b/>
        </w:rPr>
        <w:t xml:space="preserve">Subject:</w:t>
      </w:r>
      <w:r>
        <w:t xml:space="preserve"> </w:t>
      </w:r>
      <w:r>
        <w:t xml:space="preserve">Lawyer (Abogado) Performance and Methodology</w:t>
      </w:r>
    </w:p>
    <w:p>
      <w:pPr>
        <w:pStyle w:val="BodyText"/>
      </w:pPr>
      <w:r>
        <w:rPr>
          <w:bCs/>
          <w:b/>
        </w:rPr>
        <w:t xml:space="preserve">Date:</w:t>
      </w:r>
      <w:r>
        <w:t xml:space="preserve"> </w:t>
      </w:r>
      <w:r>
        <w:t xml:space="preserve">October 2023</w:t>
      </w:r>
    </w:p>
    <w:bookmarkStart w:id="20" w:name="introduction-and-background"/>
    <w:p>
      <w:pPr>
        <w:pStyle w:val="Heading2"/>
      </w:pPr>
      <w:r>
        <w:t xml:space="preserve">1. Introduction and Background</w:t>
      </w:r>
    </w:p>
    <w:p>
      <w:pPr>
        <w:pStyle w:val="FirstParagraph"/>
      </w:pPr>
      <w:r>
        <w:t xml:space="preserve">The legal landscape in Mexico City is characterized by a complex interplay of federal and local laws, a high volume of litigation, and a rapidly evolving regulatory environment. As the capital of Mexico, the city serves as the primary hub for commercial, civil, and criminal law. The role of the</w:t>
      </w:r>
      <w:r>
        <w:t xml:space="preserve"> </w:t>
      </w:r>
      <w:r>
        <w:rPr>
          <w:bCs/>
          <w:b/>
        </w:rPr>
        <w:t xml:space="preserve">Lawyer</w:t>
      </w:r>
      <w:r>
        <w:t xml:space="preserve"> </w:t>
      </w:r>
      <w:r>
        <w:t xml:space="preserve">in this jurisdiction is critical, yet the methodologies employed by legal practitioners vary significantly.</w:t>
      </w:r>
    </w:p>
    <w:p>
      <w:pPr>
        <w:pStyle w:val="BodyText"/>
      </w:pPr>
      <w:r>
        <w:t xml:space="preserve">This</w:t>
      </w:r>
      <w:r>
        <w:t xml:space="preserve"> </w:t>
      </w:r>
      <w:r>
        <w:rPr>
          <w:bCs/>
          <w:b/>
        </w:rPr>
        <w:t xml:space="preserve">Experiment Protocol</w:t>
      </w:r>
      <w:r>
        <w:t xml:space="preserve"> </w:t>
      </w:r>
      <w:r>
        <w:t xml:space="preserve">aims to evaluate the efficacy of traditional legal service delivery versus modern, technology-integrated approaches within the context of</w:t>
      </w:r>
      <w:r>
        <w:t xml:space="preserve"> </w:t>
      </w:r>
      <w:r>
        <w:rPr>
          <w:bCs/>
          <w:b/>
        </w:rPr>
        <w:t xml:space="preserve">Mexico Mexico City</w:t>
      </w:r>
      <w:r>
        <w:t xml:space="preserve">. By observing the workflow, client interaction, and case resolution rates of lawyers operating in this specific metropolitan area, we seek to identify best practices that enhance legal outcomes while maintaining strict adherence to the Mexican Code of Civil Procedure and local regulations.</w:t>
      </w:r>
    </w:p>
    <w:bookmarkEnd w:id="20"/>
    <w:bookmarkStart w:id="21" w:name="objectives"/>
    <w:p>
      <w:pPr>
        <w:pStyle w:val="Heading2"/>
      </w:pPr>
      <w:r>
        <w:t xml:space="preserve">2. Objectives</w:t>
      </w:r>
    </w:p>
    <w:p>
      <w:pPr>
        <w:pStyle w:val="FirstParagraph"/>
      </w:pPr>
      <w:r>
        <w:t xml:space="preserve">The primary objectives of this experiment are as follows:</w:t>
      </w:r>
    </w:p>
    <w:p>
      <w:pPr>
        <w:numPr>
          <w:ilvl w:val="0"/>
          <w:numId w:val="1001"/>
        </w:numPr>
        <w:pStyle w:val="Compact"/>
      </w:pPr>
      <w:r>
        <w:t xml:space="preserve">To measure the time efficiency of case preparation by lawyers in Mexico City using digital case management tools compared to traditional manual methods.</w:t>
      </w:r>
    </w:p>
    <w:p>
      <w:pPr>
        <w:numPr>
          <w:ilvl w:val="0"/>
          <w:numId w:val="1001"/>
        </w:numPr>
        <w:pStyle w:val="Compact"/>
      </w:pPr>
      <w:r>
        <w:t xml:space="preserve">To assess client satisfaction levels regarding communication frequency and clarity of legal advice provided by the lawyer.</w:t>
      </w:r>
    </w:p>
    <w:p>
      <w:pPr>
        <w:numPr>
          <w:ilvl w:val="0"/>
          <w:numId w:val="1001"/>
        </w:numPr>
        <w:pStyle w:val="Compact"/>
      </w:pPr>
      <w:r>
        <w:t xml:space="preserve">To analyze the impact of local jurisdictional nuances in Mexico City on the strategic decisions made by legal practitioners.</w:t>
      </w:r>
    </w:p>
    <w:p>
      <w:pPr>
        <w:numPr>
          <w:ilvl w:val="0"/>
          <w:numId w:val="1001"/>
        </w:numPr>
        <w:pStyle w:val="Compact"/>
      </w:pPr>
      <w:r>
        <w:t xml:space="preserve">To determine the correlation between lawyer specialization and successful case outcomes in the local courts.</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utilize a mixed-methods approach, combining quantitative data analysis with qualitative interviews. The experiment will be conducted over a period of six months. The sample group will consist of licensed lawyers practicing in various districts of Mexico City, including Polanco, Roma, Condesa, and the historic center.</w:t>
      </w:r>
    </w:p>
    <w:bookmarkEnd w:id="22"/>
    <w:bookmarkStart w:id="23" w:name="participant-selection"/>
    <w:p>
      <w:pPr>
        <w:pStyle w:val="Heading3"/>
      </w:pPr>
      <w:r>
        <w:t xml:space="preserve">3.2 Participant Selection</w:t>
      </w:r>
    </w:p>
    <w:p>
      <w:pPr>
        <w:pStyle w:val="FirstParagraph"/>
      </w:pPr>
      <w:r>
        <w:t xml:space="preserve">Participants must be active members of the Bar Association of Mexico City (Colegio de Abogados de la Ciudad de México). The selection criteria include:</w:t>
      </w:r>
    </w:p>
    <w:p>
      <w:pPr>
        <w:numPr>
          <w:ilvl w:val="0"/>
          <w:numId w:val="1002"/>
        </w:numPr>
        <w:pStyle w:val="Compact"/>
      </w:pPr>
      <w:r>
        <w:t xml:space="preserve">Minimum of five years of practice experience.</w:t>
      </w:r>
    </w:p>
    <w:p>
      <w:pPr>
        <w:numPr>
          <w:ilvl w:val="0"/>
          <w:numId w:val="1002"/>
        </w:numPr>
        <w:pStyle w:val="Compact"/>
      </w:pPr>
      <w:r>
        <w:t xml:space="preserve">Active caseload of at least ten ongoing cases.</w:t>
      </w:r>
    </w:p>
    <w:p>
      <w:pPr>
        <w:numPr>
          <w:ilvl w:val="0"/>
          <w:numId w:val="1002"/>
        </w:numPr>
        <w:pStyle w:val="Compact"/>
      </w:pPr>
      <w:r>
        <w:t xml:space="preserve">Willingness to document their workflow according to this protocol.</w:t>
      </w:r>
    </w:p>
    <w:bookmarkEnd w:id="23"/>
    <w:bookmarkStart w:id="24" w:name="variables"/>
    <w:p>
      <w:pPr>
        <w:pStyle w:val="Heading3"/>
      </w:pPr>
      <w:r>
        <w:t xml:space="preserve">3.3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t xml:space="preserve">Independent Variable</w:t>
            </w:r>
          </w:p>
        </w:tc>
        <w:tc>
          <w:tcPr/>
          <w:p>
            <w:pPr>
              <w:pStyle w:val="Compact"/>
              <w:jc w:val="left"/>
            </w:pPr>
            <w:r>
              <w:t xml:space="preserve">The methodology used by the lawyer (Traditional vs. Tech-Integrated).</w:t>
            </w:r>
          </w:p>
        </w:tc>
      </w:tr>
      <w:tr>
        <w:tc>
          <w:tcPr/>
          <w:p>
            <w:pPr>
              <w:pStyle w:val="Compact"/>
              <w:jc w:val="left"/>
            </w:pPr>
            <w:r>
              <w:t xml:space="preserve">Dependent Variables</w:t>
            </w:r>
          </w:p>
        </w:tc>
        <w:tc>
          <w:tcPr/>
          <w:p>
            <w:pPr>
              <w:pStyle w:val="Compact"/>
              <w:jc w:val="left"/>
            </w:pPr>
            <w:r>
              <w:t xml:space="preserve">Case resolution time, client satisfaction score, cost efficiency.</w:t>
            </w:r>
          </w:p>
        </w:tc>
      </w:tr>
      <w:tr>
        <w:tc>
          <w:tcPr/>
          <w:p>
            <w:pPr>
              <w:pStyle w:val="Compact"/>
              <w:jc w:val="left"/>
            </w:pPr>
            <w:r>
              <w:t xml:space="preserve">Control Variables</w:t>
            </w:r>
          </w:p>
        </w:tc>
        <w:tc>
          <w:tcPr/>
          <w:p>
            <w:pPr>
              <w:pStyle w:val="Compact"/>
              <w:jc w:val="left"/>
            </w:pPr>
            <w:r>
              <w:t xml:space="preserve">Type of legal case (Civil, Commercial, Criminal), court jurisdiction within Mexico City.</w:t>
            </w:r>
          </w:p>
        </w:tc>
      </w:tr>
    </w:tbl>
    <w:bookmarkEnd w:id="24"/>
    <w:bookmarkEnd w:id="25"/>
    <w:bookmarkStart w:id="29" w:name="procedures"/>
    <w:p>
      <w:pPr>
        <w:pStyle w:val="Heading2"/>
      </w:pPr>
      <w:r>
        <w:t xml:space="preserve">4. Procedures</w:t>
      </w:r>
    </w:p>
    <w:bookmarkStart w:id="26" w:name="phase-1-baseline-assessment"/>
    <w:p>
      <w:pPr>
        <w:pStyle w:val="Heading3"/>
      </w:pPr>
      <w:r>
        <w:t xml:space="preserve">4.1 Phase 1: Baseline Assessment</w:t>
      </w:r>
    </w:p>
    <w:p>
      <w:pPr>
        <w:pStyle w:val="FirstParagraph"/>
      </w:pPr>
      <w:r>
        <w:t xml:space="preserve">At the onset of the experiment, each participating lawyer will undergo a baseline assessment. This involves a review of their current case management systems, office infrastructure, and standard operating procedures. In the context of Mexico City, special attention will be paid to how lawyers navigate the local electronic judicial systems, such as the Sistema de Gestión Judicial.</w:t>
      </w:r>
    </w:p>
    <w:bookmarkEnd w:id="26"/>
    <w:bookmarkStart w:id="27" w:name="phase-2-intervention-and-observation"/>
    <w:p>
      <w:pPr>
        <w:pStyle w:val="Heading3"/>
      </w:pPr>
      <w:r>
        <w:t xml:space="preserve">4.2 Phase 2: Intervention and Observation</w:t>
      </w:r>
    </w:p>
    <w:p>
      <w:pPr>
        <w:pStyle w:val="FirstParagraph"/>
      </w:pPr>
      <w:r>
        <w:t xml:space="preserve">During this phase, the experiment will track the daily activities of the lawyers. Data collection will focus on:</w:t>
      </w:r>
    </w:p>
    <w:p>
      <w:pPr>
        <w:numPr>
          <w:ilvl w:val="0"/>
          <w:numId w:val="1003"/>
        </w:numPr>
        <w:pStyle w:val="Compact"/>
      </w:pPr>
      <w:r>
        <w:rPr>
          <w:bCs/>
          <w:b/>
        </w:rPr>
        <w:t xml:space="preserve">Documentation:</w:t>
      </w:r>
      <w:r>
        <w:t xml:space="preserve"> </w:t>
      </w:r>
      <w:r>
        <w:t xml:space="preserve">Time spent drafting legal briefs, motions, and contracts.</w:t>
      </w:r>
    </w:p>
    <w:p>
      <w:pPr>
        <w:numPr>
          <w:ilvl w:val="0"/>
          <w:numId w:val="1003"/>
        </w:numPr>
        <w:pStyle w:val="Compact"/>
      </w:pPr>
      <w:r>
        <w:rPr>
          <w:bCs/>
          <w:b/>
        </w:rPr>
        <w:t xml:space="preserve">Client Interaction:</w:t>
      </w:r>
      <w:r>
        <w:t xml:space="preserve"> </w:t>
      </w:r>
      <w:r>
        <w:t xml:space="preserve">Frequency and mode of communication with clients residing in or outside Mexico City.</w:t>
      </w:r>
    </w:p>
    <w:p>
      <w:pPr>
        <w:numPr>
          <w:ilvl w:val="0"/>
          <w:numId w:val="1003"/>
        </w:numPr>
        <w:pStyle w:val="Compact"/>
      </w:pPr>
      <w:r>
        <w:rPr>
          <w:bCs/>
          <w:b/>
        </w:rPr>
        <w:t xml:space="preserve">Court Proceedings:</w:t>
      </w:r>
      <w:r>
        <w:t xml:space="preserve"> </w:t>
      </w:r>
      <w:r>
        <w:t xml:space="preserve">Attendance and performance in local tribunals.</w:t>
      </w:r>
    </w:p>
    <w:p>
      <w:pPr>
        <w:pStyle w:val="FirstParagraph"/>
      </w:pPr>
      <w:r>
        <w:t xml:space="preserve">Lawyers in the "Tech-Integrated" group will be provided with advanced legal software tailored to Mexican law, while the "Traditional" group will continue with their existing methods.</w:t>
      </w:r>
    </w:p>
    <w:bookmarkEnd w:id="27"/>
    <w:bookmarkStart w:id="28" w:name="phase-3-data-analysis"/>
    <w:p>
      <w:pPr>
        <w:pStyle w:val="Heading3"/>
      </w:pPr>
      <w:r>
        <w:t xml:space="preserve">4.3 Phase 3: Data Analysis</w:t>
      </w:r>
    </w:p>
    <w:p>
      <w:pPr>
        <w:pStyle w:val="FirstParagraph"/>
      </w:pPr>
      <w:r>
        <w:t xml:space="preserve">Upon completion of the six-month period, all collected data will be aggregated. Statistical analysis will be performed to compare the performance metrics of the two groups. Qualitative data from client surveys and lawyer interviews will be coded to identify recurring themes related to the challenges of practicing law in Mexico City.</w:t>
      </w:r>
    </w:p>
    <w:bookmarkEnd w:id="28"/>
    <w:bookmarkEnd w:id="29"/>
    <w:bookmarkStart w:id="30" w:name="ethical-considerations"/>
    <w:p>
      <w:pPr>
        <w:pStyle w:val="Heading2"/>
      </w:pPr>
      <w:r>
        <w:t xml:space="preserve">5. Ethical Considerations</w:t>
      </w:r>
    </w:p>
    <w:p>
      <w:pPr>
        <w:pStyle w:val="FirstParagraph"/>
      </w:pPr>
      <w:r>
        <w:t xml:space="preserve">This experiment protocol strictly adheres to ethical standards governing legal practice and research.</w:t>
      </w:r>
    </w:p>
    <w:p>
      <w:pPr>
        <w:numPr>
          <w:ilvl w:val="0"/>
          <w:numId w:val="1004"/>
        </w:numPr>
        <w:pStyle w:val="Compact"/>
      </w:pPr>
      <w:r>
        <w:rPr>
          <w:bCs/>
          <w:b/>
        </w:rPr>
        <w:t xml:space="preserve">Confidentiality:</w:t>
      </w:r>
      <w:r>
        <w:t xml:space="preserve"> </w:t>
      </w:r>
      <w:r>
        <w:t xml:space="preserve">All client information will be anonymized to comply with the Federal Law on Protection of Personal Data Held by Private Parties (LFPDPPP).</w:t>
      </w:r>
    </w:p>
    <w:p>
      <w:pPr>
        <w:numPr>
          <w:ilvl w:val="0"/>
          <w:numId w:val="1004"/>
        </w:numPr>
        <w:pStyle w:val="Compact"/>
      </w:pPr>
      <w:r>
        <w:rPr>
          <w:bCs/>
          <w:b/>
        </w:rPr>
        <w:t xml:space="preserve">Informed Consent:</w:t>
      </w:r>
      <w:r>
        <w:t xml:space="preserve"> </w:t>
      </w:r>
      <w:r>
        <w:t xml:space="preserve">All participating lawyers and their clients will provide written consent before the experiment begins.</w:t>
      </w:r>
    </w:p>
    <w:p>
      <w:pPr>
        <w:numPr>
          <w:ilvl w:val="0"/>
          <w:numId w:val="1004"/>
        </w:numPr>
        <w:pStyle w:val="Compact"/>
      </w:pPr>
      <w:r>
        <w:rPr>
          <w:bCs/>
          <w:b/>
        </w:rPr>
        <w:t xml:space="preserve">Professional Integrity:</w:t>
      </w:r>
      <w:r>
        <w:t xml:space="preserve"> </w:t>
      </w:r>
      <w:r>
        <w:t xml:space="preserve">The experiment will not interfere with the lawyer's duty to provide competent and diligent representation.</w:t>
      </w:r>
    </w:p>
    <w:bookmarkEnd w:id="30"/>
    <w:bookmarkStart w:id="31" w:name="expected-outcomes"/>
    <w:p>
      <w:pPr>
        <w:pStyle w:val="Heading2"/>
      </w:pPr>
      <w:r>
        <w:t xml:space="preserve">6. Expected Outcomes</w:t>
      </w:r>
    </w:p>
    <w:p>
      <w:pPr>
        <w:pStyle w:val="FirstParagraph"/>
      </w:pPr>
      <w:r>
        <w:t xml:space="preserve">It is anticipated that this experiment will reveal significant differences in efficiency between the two methodologies. Specifically, we expect that lawyers in Mexico City utilizing integrated technology will demonstrate faster case resolution times and higher client satisfaction scores. Furthermore, the study aims to provide actionable insights for legal education institutions in Mexico, suggesting curriculum updates that better prepare future lawyers for the modern demands of the Mexican legal system.</w:t>
      </w:r>
    </w:p>
    <w:bookmarkEnd w:id="31"/>
    <w:bookmarkStart w:id="32" w:name="conclusion"/>
    <w:p>
      <w:pPr>
        <w:pStyle w:val="Heading2"/>
      </w:pPr>
      <w:r>
        <w:t xml:space="preserve">7. Conclusion</w:t>
      </w:r>
    </w:p>
    <w:p>
      <w:pPr>
        <w:pStyle w:val="FirstParagraph"/>
      </w:pPr>
      <w:r>
        <w:t xml:space="preserve">This Experiment Protocol provides a structured framework for investigating the evolving role of the Lawyer in Mexico Mexico City. By systematically analyzing legal practice methodologies, we contribute to the broader understanding of how legal services can be optimized in one of the world's most dynamic urban centers. The findings will be disseminated to relevant legal authorities and academic institutions to foster continuous improvement in the administration of justice.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Legal Practice in Mexico City</dc:title>
  <dc:creator/>
  <dc:language>en</dc:language>
  <cp:keywords/>
  <dcterms:created xsi:type="dcterms:W3CDTF">2026-10-10T04:09:18Z</dcterms:created>
  <dcterms:modified xsi:type="dcterms:W3CDTF">2026-10-10T04:09:18Z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