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Adaptation</w:t>
      </w:r>
      <w:r>
        <w:t xml:space="preserve"> </w:t>
      </w:r>
      <w:r>
        <w:t xml:space="preserve">in</w:t>
      </w:r>
      <w:r>
        <w:t xml:space="preserve"> </w:t>
      </w:r>
      <w:r>
        <w:t xml:space="preserve">Amsterdam</w:t>
      </w:r>
    </w:p>
    <w:bookmarkStart w:id="20" w:name="Xa8771ac9dbbb653a3e223510e4bf7dac46cc22e"/>
    <w:p>
      <w:pPr>
        <w:pStyle w:val="Heading1"/>
      </w:pPr>
      <w:r>
        <w:t xml:space="preserve">Experiment Protocol: Digital Transformation in Legal Practice</w:t>
      </w:r>
    </w:p>
    <w:p>
      <w:pPr>
        <w:pStyle w:val="FirstParagraph"/>
      </w:pPr>
      <w:r>
        <w:rPr>
          <w:bCs/>
          <w:b/>
        </w:rPr>
        <w:t xml:space="preserve">Protocol ID:</w:t>
      </w:r>
      <w:r>
        <w:t xml:space="preserve"> </w:t>
      </w:r>
      <w:r>
        <w:t xml:space="preserve">NL-AMS-LEG-2023-001</w:t>
      </w:r>
    </w:p>
    <w:p>
      <w:pPr>
        <w:pStyle w:val="BodyText"/>
      </w:pPr>
      <w:r>
        <w:rPr>
          <w:bCs/>
          <w:b/>
        </w:rPr>
        <w:t xml:space="preserve">Location:</w:t>
      </w:r>
      <w:r>
        <w:t xml:space="preserve"> </w:t>
      </w:r>
      <w:r>
        <w:t xml:space="preserve">Amsterdam, Netherlands</w:t>
      </w:r>
    </w:p>
    <w:p>
      <w:pPr>
        <w:pStyle w:val="BodyText"/>
      </w:pPr>
      <w:r>
        <w:rPr>
          <w:bCs/>
          <w:b/>
        </w:rPr>
        <w:t xml:space="preserve">Subject:</w:t>
      </w:r>
      <w:r>
        <w:t xml:space="preserve"> </w:t>
      </w:r>
      <w:r>
        <w:t xml:space="preserve">The Lawyer in the Era of LegalTech</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legal landscape in the Netherlands is undergoing a significant paradigm shift, driven by rapid technological advancements and evolving client expectations. Amsterdam, as a global hub for innovation and a leading center for LegalTech in Europe, provides an ideal environment for studying these changes. This Experiment Protocol outlines a structured investigation into how the modern Lawyer in Amsterdam adapts to digital tools, artificial intelligence (AI), and new regulatory frameworks.</w:t>
      </w:r>
    </w:p>
    <w:p>
      <w:pPr>
        <w:pStyle w:val="BodyText"/>
      </w:pPr>
      <w:r>
        <w:t xml:space="preserve">The primary objective is to assess the impact of digital transformation on the efficiency, accuracy, and client satisfaction levels of legal professionals operating within the Dutch jurisdiction. By focusing on Amsterdam, we leverage the city's unique ecosystem, which includes progressive law firms, tech startups, and a supportive regulatory environment under the supervision of the Dutch Bar Association (Nederlandse Orde van Advocaten).</w:t>
      </w:r>
    </w:p>
    <w:bookmarkEnd w:id="21"/>
    <w:bookmarkStart w:id="22" w:name="objectives"/>
    <w:p>
      <w:pPr>
        <w:pStyle w:val="Heading2"/>
      </w:pPr>
      <w:r>
        <w:t xml:space="preserve">2. Objectives</w:t>
      </w:r>
    </w:p>
    <w:p>
      <w:pPr>
        <w:pStyle w:val="FirstParagraph"/>
      </w:pPr>
      <w:r>
        <w:t xml:space="preserve">This experiment aims to achieve the following specific objectives:</w:t>
      </w:r>
    </w:p>
    <w:p>
      <w:pPr>
        <w:numPr>
          <w:ilvl w:val="0"/>
          <w:numId w:val="1001"/>
        </w:numPr>
        <w:pStyle w:val="Compact"/>
      </w:pPr>
      <w:r>
        <w:rPr>
          <w:bCs/>
          <w:b/>
        </w:rPr>
        <w:t xml:space="preserve">Evaluate Efficiency:</w:t>
      </w:r>
      <w:r>
        <w:t xml:space="preserve"> </w:t>
      </w:r>
      <w:r>
        <w:t xml:space="preserve">Measure the time savings achieved by Lawyers using AI-driven document review and contract analysis tools compared to traditional methods.</w:t>
      </w:r>
    </w:p>
    <w:p>
      <w:pPr>
        <w:numPr>
          <w:ilvl w:val="0"/>
          <w:numId w:val="1001"/>
        </w:numPr>
        <w:pStyle w:val="Compact"/>
      </w:pPr>
      <w:r>
        <w:rPr>
          <w:bCs/>
          <w:b/>
        </w:rPr>
        <w:t xml:space="preserve">Assess Accuracy:</w:t>
      </w:r>
      <w:r>
        <w:t xml:space="preserve"> </w:t>
      </w:r>
      <w:r>
        <w:t xml:space="preserve">Determine the error rates in legal research and document drafting when assisted by LegalTech solutions versus manual processes.</w:t>
      </w:r>
    </w:p>
    <w:p>
      <w:pPr>
        <w:numPr>
          <w:ilvl w:val="0"/>
          <w:numId w:val="1001"/>
        </w:numPr>
        <w:pStyle w:val="Compact"/>
      </w:pPr>
      <w:r>
        <w:rPr>
          <w:bCs/>
          <w:b/>
        </w:rPr>
        <w:t xml:space="preserve">Analyze Client Perception:</w:t>
      </w:r>
      <w:r>
        <w:t xml:space="preserve"> </w:t>
      </w:r>
      <w:r>
        <w:t xml:space="preserve">Investigate how clients in Amsterdam perceive the use of technology by their Lawyers, focusing on trust, transparency, and value for money.</w:t>
      </w:r>
    </w:p>
    <w:p>
      <w:pPr>
        <w:numPr>
          <w:ilvl w:val="0"/>
          <w:numId w:val="1001"/>
        </w:numPr>
        <w:pStyle w:val="Compact"/>
      </w:pPr>
      <w:r>
        <w:rPr>
          <w:bCs/>
          <w:b/>
        </w:rPr>
        <w:t xml:space="preserve">Examine Regulatory Compliance:</w:t>
      </w:r>
      <w:r>
        <w:t xml:space="preserve"> </w:t>
      </w:r>
      <w:r>
        <w:t xml:space="preserve">Ensure that all experimental procedures adhere to the Dutch Civil Code (Burgerlijk Wetboek), GDPR regulations, and the professional code of conduct for Lawyers in the Netherlands.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analysis with qualitative interviews. The experiment will be conducted over a period of six months, involving a cohort of 50 Lawyers from various firms in Amsterdam. Participants will be divided into two groups: a control group using traditional legal practices and an experimental group integrating advanced LegalTech tools into their workflow.</w:t>
      </w:r>
    </w:p>
    <w:bookmarkEnd w:id="23"/>
    <w:bookmarkStart w:id="24" w:name="participant-selection"/>
    <w:p>
      <w:pPr>
        <w:pStyle w:val="Heading3"/>
      </w:pPr>
      <w:r>
        <w:t xml:space="preserve">3.2 Participant Selection</w:t>
      </w:r>
    </w:p>
    <w:p>
      <w:pPr>
        <w:pStyle w:val="FirstParagraph"/>
      </w:pPr>
      <w:r>
        <w:t xml:space="preserve">Participants will be selected based on the following criteria:</w:t>
      </w:r>
    </w:p>
    <w:p>
      <w:pPr>
        <w:numPr>
          <w:ilvl w:val="0"/>
          <w:numId w:val="1002"/>
        </w:numPr>
        <w:pStyle w:val="Compact"/>
      </w:pPr>
      <w:r>
        <w:t xml:space="preserve">Must be a licensed Lawyer registered with the Dutch Bar Association.</w:t>
      </w:r>
    </w:p>
    <w:p>
      <w:pPr>
        <w:numPr>
          <w:ilvl w:val="0"/>
          <w:numId w:val="1002"/>
        </w:numPr>
        <w:pStyle w:val="Compact"/>
      </w:pPr>
      <w:r>
        <w:t xml:space="preserve">Must practice primarily in Amsterdam or the surrounding Randstad region.</w:t>
      </w:r>
    </w:p>
    <w:p>
      <w:pPr>
        <w:numPr>
          <w:ilvl w:val="0"/>
          <w:numId w:val="1002"/>
        </w:numPr>
        <w:pStyle w:val="Compact"/>
      </w:pPr>
      <w:r>
        <w:t xml:space="preserve">Must have at least three years of professional experience.</w:t>
      </w:r>
    </w:p>
    <w:p>
      <w:pPr>
        <w:numPr>
          <w:ilvl w:val="0"/>
          <w:numId w:val="1002"/>
        </w:numPr>
        <w:pStyle w:val="Compact"/>
      </w:pPr>
      <w:r>
        <w:t xml:space="preserve">Must handle cases involving civil law, corporate law, or intellectual property.</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Time Tracking Software:</w:t>
      </w:r>
      <w:r>
        <w:t xml:space="preserve"> </w:t>
      </w:r>
      <w:r>
        <w:t xml:space="preserve">To monitor the duration of specific legal tasks.</w:t>
      </w:r>
    </w:p>
    <w:p>
      <w:pPr>
        <w:numPr>
          <w:ilvl w:val="0"/>
          <w:numId w:val="1003"/>
        </w:numPr>
        <w:pStyle w:val="Compact"/>
      </w:pPr>
      <w:r>
        <w:rPr>
          <w:bCs/>
          <w:b/>
        </w:rPr>
        <w:t xml:space="preserve">Error Audits:</w:t>
      </w:r>
      <w:r>
        <w:t xml:space="preserve"> </w:t>
      </w:r>
      <w:r>
        <w:t xml:space="preserve">Random sampling of documents to identify inaccuracies.</w:t>
      </w:r>
    </w:p>
    <w:p>
      <w:pPr>
        <w:numPr>
          <w:ilvl w:val="0"/>
          <w:numId w:val="1003"/>
        </w:numPr>
        <w:pStyle w:val="Compact"/>
      </w:pPr>
      <w:r>
        <w:rPr>
          <w:bCs/>
          <w:b/>
        </w:rPr>
        <w:t xml:space="preserve">Client Surveys:</w:t>
      </w:r>
      <w:r>
        <w:t xml:space="preserve"> </w:t>
      </w:r>
      <w:r>
        <w:t xml:space="preserve">Distributed to clients of participating Lawyers to gauge satisfaction levels.</w:t>
      </w:r>
    </w:p>
    <w:p>
      <w:pPr>
        <w:numPr>
          <w:ilvl w:val="0"/>
          <w:numId w:val="1003"/>
        </w:numPr>
        <w:pStyle w:val="Compact"/>
      </w:pPr>
      <w:r>
        <w:rPr>
          <w:bCs/>
          <w:b/>
        </w:rPr>
        <w:t xml:space="preserve">Interviews:</w:t>
      </w:r>
      <w:r>
        <w:t xml:space="preserve"> </w:t>
      </w:r>
      <w:r>
        <w:t xml:space="preserve">In-depth discussions with Lawyers to understand their experiences and challenges.</w:t>
      </w:r>
    </w:p>
    <w:bookmarkEnd w:id="25"/>
    <w:bookmarkEnd w:id="26"/>
    <w:bookmarkStart w:id="27" w:name="ethical-considerations"/>
    <w:p>
      <w:pPr>
        <w:pStyle w:val="Heading2"/>
      </w:pPr>
      <w:r>
        <w:t xml:space="preserve">4. Ethical Considerations</w:t>
      </w:r>
    </w:p>
    <w:p>
      <w:pPr>
        <w:pStyle w:val="FirstParagraph"/>
      </w:pPr>
      <w:r>
        <w:t xml:space="preserve">Given the sensitive nature of legal work, ethical considerations are paramount. This experiment will strictly adhere to the following principles:</w:t>
      </w:r>
    </w:p>
    <w:p>
      <w:pPr>
        <w:numPr>
          <w:ilvl w:val="0"/>
          <w:numId w:val="1004"/>
        </w:numPr>
        <w:pStyle w:val="Compact"/>
      </w:pPr>
      <w:r>
        <w:rPr>
          <w:bCs/>
          <w:b/>
        </w:rPr>
        <w:t xml:space="preserve">Confidentiality:</w:t>
      </w:r>
      <w:r>
        <w:t xml:space="preserve"> </w:t>
      </w:r>
      <w:r>
        <w:t xml:space="preserve">All client data will be anonymized and handled in compliance with GDPR and Dutch privacy laws.</w:t>
      </w:r>
    </w:p>
    <w:p>
      <w:pPr>
        <w:numPr>
          <w:ilvl w:val="0"/>
          <w:numId w:val="1004"/>
        </w:numPr>
        <w:pStyle w:val="Compact"/>
      </w:pPr>
      <w:r>
        <w:rPr>
          <w:bCs/>
          <w:b/>
        </w:rPr>
        <w:t xml:space="preserve">Informed Consent:</w:t>
      </w:r>
      <w:r>
        <w:t xml:space="preserve"> </w:t>
      </w:r>
      <w:r>
        <w:t xml:space="preserve">All participating Lawyers and their clients will provide informed consent before the experiment begins.</w:t>
      </w:r>
    </w:p>
    <w:p>
      <w:pPr>
        <w:numPr>
          <w:ilvl w:val="0"/>
          <w:numId w:val="1004"/>
        </w:numPr>
        <w:pStyle w:val="Compact"/>
      </w:pPr>
      <w:r>
        <w:rPr>
          <w:bCs/>
          <w:b/>
        </w:rPr>
        <w:t xml:space="preserve">Professional Integrity:</w:t>
      </w:r>
      <w:r>
        <w:t xml:space="preserve"> </w:t>
      </w:r>
      <w:r>
        <w:t xml:space="preserve">The experiment will not compromise the quality of legal services provided to clients.</w:t>
      </w:r>
    </w:p>
    <w:p>
      <w:pPr>
        <w:numPr>
          <w:ilvl w:val="0"/>
          <w:numId w:val="1004"/>
        </w:numPr>
        <w:pStyle w:val="Compact"/>
      </w:pPr>
      <w:r>
        <w:rPr>
          <w:bCs/>
          <w:b/>
        </w:rPr>
        <w:t xml:space="preserve">Data Security:</w:t>
      </w:r>
      <w:r>
        <w:t xml:space="preserve"> </w:t>
      </w:r>
      <w:r>
        <w:t xml:space="preserve">All data will be stored on secure servers located within the European Union.</w:t>
      </w:r>
    </w:p>
    <w:bookmarkEnd w:id="27"/>
    <w:bookmarkStart w:id="28" w:name="timeline"/>
    <w:p>
      <w:pPr>
        <w:pStyle w:val="Heading2"/>
      </w:pPr>
      <w:r>
        <w:t xml:space="preserve">5. Timeline</w:t>
      </w:r>
    </w:p>
    <w:p>
      <w:pPr>
        <w:numPr>
          <w:ilvl w:val="0"/>
          <w:numId w:val="1005"/>
        </w:numPr>
        <w:pStyle w:val="Compact"/>
      </w:pPr>
      <w:r>
        <w:rPr>
          <w:bCs/>
          <w:b/>
        </w:rPr>
        <w:t xml:space="preserve">Month 1:</w:t>
      </w:r>
      <w:r>
        <w:t xml:space="preserve"> </w:t>
      </w:r>
      <w:r>
        <w:t xml:space="preserve">Recruitment of participants and baseline data collection.</w:t>
      </w:r>
    </w:p>
    <w:p>
      <w:pPr>
        <w:numPr>
          <w:ilvl w:val="0"/>
          <w:numId w:val="1005"/>
        </w:numPr>
        <w:pStyle w:val="Compact"/>
      </w:pPr>
      <w:r>
        <w:rPr>
          <w:bCs/>
          <w:b/>
        </w:rPr>
        <w:t xml:space="preserve">Months 2-5:</w:t>
      </w:r>
      <w:r>
        <w:t xml:space="preserve"> </w:t>
      </w:r>
      <w:r>
        <w:t xml:space="preserve">Implementation of the experiment and ongoing data collection.</w:t>
      </w:r>
    </w:p>
    <w:p>
      <w:pPr>
        <w:numPr>
          <w:ilvl w:val="0"/>
          <w:numId w:val="1005"/>
        </w:numPr>
        <w:pStyle w:val="Compact"/>
      </w:pPr>
      <w:r>
        <w:rPr>
          <w:bCs/>
          <w:b/>
        </w:rPr>
        <w:t xml:space="preserve">Month 6:</w:t>
      </w:r>
      <w:r>
        <w:t xml:space="preserve"> </w:t>
      </w:r>
      <w:r>
        <w:t xml:space="preserve">Data analysis, reporting, and dissemination of findings.</w:t>
      </w:r>
    </w:p>
    <w:bookmarkEnd w:id="28"/>
    <w:bookmarkStart w:id="29" w:name="expected-outcomes"/>
    <w:p>
      <w:pPr>
        <w:pStyle w:val="Heading2"/>
      </w:pPr>
      <w:r>
        <w:t xml:space="preserve">6. Expected Outcomes</w:t>
      </w:r>
    </w:p>
    <w:p>
      <w:pPr>
        <w:pStyle w:val="FirstParagraph"/>
      </w:pPr>
      <w:r>
        <w:t xml:space="preserve">We anticipate that the experimental group will demonstrate significant improvements in efficiency and accuracy compared to the control group. Additionally, we expect positive feedback from clients regarding the transparency and cost-effectiveness of technology-assisted legal services. These findings will contribute to a broader understanding of how the role of the Lawyer is evolving in Amsterdam and the Netherlands as a whole.</w:t>
      </w:r>
    </w:p>
    <w:bookmarkEnd w:id="29"/>
    <w:bookmarkStart w:id="30" w:name="conclusion"/>
    <w:p>
      <w:pPr>
        <w:pStyle w:val="Heading2"/>
      </w:pPr>
      <w:r>
        <w:t xml:space="preserve">7. Conclusion</w:t>
      </w:r>
    </w:p>
    <w:p>
      <w:pPr>
        <w:pStyle w:val="FirstParagraph"/>
      </w:pPr>
      <w:r>
        <w:t xml:space="preserve">This Experiment Protocol provides a comprehensive framework for investigating the impact of digital transformation on legal practice in Amsterdam. By focusing on the Lawyer as the central figure in this transformation, we aim to generate insights that will benefit legal professionals, clients, and policymakers in the Netherlands and beyond.</w:t>
      </w:r>
    </w:p>
    <w:bookmarkEnd w:id="30"/>
    <w:p>
      <w:pPr>
        <w:pStyle w:val="BodyText"/>
      </w:pPr>
      <w:r>
        <w:t xml:space="preserve">This document is intended for research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Adaptation in Amsterdam</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