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Service</w:t>
      </w:r>
      <w:r>
        <w:t xml:space="preserve"> </w:t>
      </w:r>
      <w:r>
        <w:t xml:space="preserve">Accessibility</w:t>
      </w:r>
      <w:r>
        <w:t xml:space="preserve"> </w:t>
      </w:r>
      <w:r>
        <w:t xml:space="preserve">in</w:t>
      </w:r>
      <w:r>
        <w:t xml:space="preserve"> </w:t>
      </w:r>
      <w:r>
        <w:t xml:space="preserve">Auckland</w:t>
      </w:r>
    </w:p>
    <w:bookmarkStart w:id="20" w:name="X5ef8edd6c7ea27765f111901f3290c0dd7f3b32"/>
    <w:p>
      <w:pPr>
        <w:pStyle w:val="Heading1"/>
      </w:pPr>
      <w:r>
        <w:t xml:space="preserve">Experiment Protocol: Evaluating Lawyer Accessibility and Client Satisfaction in New Zealand Auckland</w:t>
      </w:r>
    </w:p>
    <w:p>
      <w:pPr>
        <w:pStyle w:val="FirstParagraph"/>
      </w:pPr>
      <w:r>
        <w:rPr>
          <w:bCs/>
          <w:b/>
        </w:rPr>
        <w:t xml:space="preserve">Protocol ID:</w:t>
      </w:r>
      <w:r>
        <w:t xml:space="preserve"> </w:t>
      </w:r>
      <w:r>
        <w:t xml:space="preserve">NZ-AKL-LEG-2024-001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Auckland, New Zealand</w:t>
      </w:r>
    </w:p>
    <w:bookmarkEnd w:id="20"/>
    <w:bookmarkStart w:id="21" w:name="introduction-and-background"/>
    <w:p>
      <w:pPr>
        <w:pStyle w:val="Heading2"/>
      </w:pPr>
      <w:r>
        <w:t xml:space="preserve">1. Introduction and Background</w:t>
      </w:r>
    </w:p>
    <w:p>
      <w:pPr>
        <w:pStyle w:val="FirstParagraph"/>
      </w:pPr>
      <w:r>
        <w:t xml:space="preserve">The legal landscape in New Zealand is governed by strict regulatory frameworks, primarily overseen by the Law Society of New Zealand. In Auckland, the largest urban center in the country, the demand for legal services is exceptionally high due to the concentration of commercial activity, diverse population demographics, and complex property markets. However, there is a growing concern regarding the accessibility, transparency, and cost-effectiveness of legal representation provided by lawyers in this region.</w:t>
      </w:r>
    </w:p>
    <w:p>
      <w:pPr>
        <w:pStyle w:val="BodyText"/>
      </w:pPr>
      <w:r>
        <w:t xml:space="preserve">This Experiment Protocol outlines a structured methodology to assess the performance, responsiveness, and ethical adherence of lawyers operating within Auckland. The term "Lawyer" in this context refers to any legal practitioner admitted to the roll of lawyers in New Zealand and currently practicing in the Auckland District. The objective is to generate empirical data that can inform policy recommendations, improve consumer protection, and enhance the overall quality of legal services in New Zealand Auckland.</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average response time of lawyers in Auckland to initial client inquiries across various practice areas (e.g., family law, criminal defense, commercial law).</w:t>
      </w:r>
    </w:p>
    <w:p>
      <w:pPr>
        <w:numPr>
          <w:ilvl w:val="0"/>
          <w:numId w:val="1001"/>
        </w:numPr>
        <w:pStyle w:val="Compact"/>
      </w:pPr>
      <w:r>
        <w:t xml:space="preserve">To evaluate the clarity and transparency of fee structures provided by lawyers during the initial consultation phase.</w:t>
      </w:r>
    </w:p>
    <w:p>
      <w:pPr>
        <w:numPr>
          <w:ilvl w:val="0"/>
          <w:numId w:val="1001"/>
        </w:numPr>
        <w:pStyle w:val="Compact"/>
      </w:pPr>
      <w:r>
        <w:t xml:space="preserve">To assess the cultural competence and communication effectiveness of lawyers when dealing with Auckland’s diverse population, including Māori and Pasifika communities.</w:t>
      </w:r>
    </w:p>
    <w:p>
      <w:pPr>
        <w:numPr>
          <w:ilvl w:val="0"/>
          <w:numId w:val="1001"/>
        </w:numPr>
        <w:pStyle w:val="Compact"/>
      </w:pPr>
      <w:r>
        <w:t xml:space="preserve">To identify potential barriers to justice that clients face when seeking legal assistance in New Zealand Auckland.</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utilize a mixed-methods approach, combining quantitative data collection through standardized surveys and qualitative insights through semi-structured interviews. The study will be conducted over a period of six months to account for seasonal variations in legal demand.</w:t>
      </w:r>
    </w:p>
    <w:bookmarkEnd w:id="23"/>
    <w:bookmarkStart w:id="24" w:name="participant-selection"/>
    <w:p>
      <w:pPr>
        <w:pStyle w:val="Heading3"/>
      </w:pPr>
      <w:r>
        <w:t xml:space="preserve">3.2 Participant Selection</w:t>
      </w:r>
    </w:p>
    <w:p>
      <w:pPr>
        <w:pStyle w:val="FirstParagraph"/>
      </w:pPr>
      <w:r>
        <w:rPr>
          <w:bCs/>
          <w:b/>
        </w:rPr>
        <w:t xml:space="preserve">Lawyers:</w:t>
      </w:r>
      <w:r>
        <w:t xml:space="preserve"> </w:t>
      </w:r>
      <w:r>
        <w:t xml:space="preserve">A stratified random sample of 150 lawyers will be selected from the Law Society of New Zealand’s register. The sample will ensure representation from different firm sizes (solo practitioners, boutique firms, and large corporate firms) and geographic locations within Auckland (e.g., CBD, North Shore, South Auckland).</w:t>
      </w:r>
    </w:p>
    <w:p>
      <w:pPr>
        <w:pStyle w:val="BodyText"/>
      </w:pPr>
      <w:r>
        <w:rPr>
          <w:bCs/>
          <w:b/>
        </w:rPr>
        <w:t xml:space="preserve">Clients:</w:t>
      </w:r>
      <w:r>
        <w:t xml:space="preserve"> </w:t>
      </w:r>
      <w:r>
        <w:t xml:space="preserve">Participants will include individuals and businesses who have engaged a lawyer in Auckland within the past 12 months. A minimum of 500 client responses will be targeted to ensure statistical significance.</w:t>
      </w:r>
    </w:p>
    <w:bookmarkEnd w:id="24"/>
    <w:bookmarkStart w:id="25" w:name="data-collection-procedures"/>
    <w:p>
      <w:pPr>
        <w:pStyle w:val="Heading3"/>
      </w:pPr>
      <w:r>
        <w:t xml:space="preserve">3.3 Data Collection Procedures</w:t>
      </w:r>
    </w:p>
    <w:p>
      <w:pPr>
        <w:pStyle w:val="FirstParagraph"/>
      </w:pPr>
      <w:r>
        <w:rPr>
          <w:bCs/>
          <w:b/>
        </w:rPr>
        <w:t xml:space="preserve">Phase 1: Mystery Shopping:</w:t>
      </w:r>
      <w:r>
        <w:t xml:space="preserve"> </w:t>
      </w:r>
      <w:r>
        <w:t xml:space="preserve">Trained researchers will pose as prospective clients to contact 150 randomly selected lawyers. They will inquire about standard legal issues (e.g., residential tenancy disputes, minor traffic offenses) and record response times, professionalism, and fee transparency.</w:t>
      </w:r>
    </w:p>
    <w:p>
      <w:pPr>
        <w:pStyle w:val="BodyText"/>
      </w:pPr>
      <w:r>
        <w:rPr>
          <w:bCs/>
          <w:b/>
        </w:rPr>
        <w:t xml:space="preserve">Phase 2: Client Surveys:</w:t>
      </w:r>
      <w:r>
        <w:t xml:space="preserve"> </w:t>
      </w:r>
      <w:r>
        <w:t xml:space="preserve">Online and telephone surveys will be distributed to past clients. Questions will focus on satisfaction levels, perceived fairness of fees, and the lawyer’s ability to explain legal concepts in plain English.</w:t>
      </w:r>
    </w:p>
    <w:p>
      <w:pPr>
        <w:pStyle w:val="BodyText"/>
      </w:pPr>
      <w:r>
        <w:rPr>
          <w:bCs/>
          <w:b/>
        </w:rPr>
        <w:t xml:space="preserve">Phase 3: Interviews:</w:t>
      </w:r>
      <w:r>
        <w:t xml:space="preserve"> </w:t>
      </w:r>
      <w:r>
        <w:t xml:space="preserve">In-depth interviews will be conducted with 30 lawyers and 30 clients to explore nuanced experiences, particularly regarding cultural sensitivity and trust.</w:t>
      </w:r>
    </w:p>
    <w:bookmarkEnd w:id="25"/>
    <w:bookmarkEnd w:id="26"/>
    <w:bookmarkStart w:id="27" w:name="ethical-considerations"/>
    <w:p>
      <w:pPr>
        <w:pStyle w:val="Heading2"/>
      </w:pPr>
      <w:r>
        <w:t xml:space="preserve">4. Ethical Considerations</w:t>
      </w:r>
    </w:p>
    <w:p>
      <w:pPr>
        <w:pStyle w:val="FirstParagraph"/>
      </w:pPr>
      <w:r>
        <w:t xml:space="preserve">Given the sensitive nature of legal matters, this experiment strictly adheres to the New Zealand Code of Health and Disability Services Consumers’ Rights and the Law Society of New Zealand’s Code of Conduct. All participants will provide informed consent, and data will be anonymized to protect client confidentiality. The study has been reviewed and approved by an independent ethics committee to ensure compliance with New Zealand’s privacy laws.</w:t>
      </w:r>
    </w:p>
    <w:bookmarkEnd w:id="27"/>
    <w:bookmarkStart w:id="28" w:name="data-analysis"/>
    <w:p>
      <w:pPr>
        <w:pStyle w:val="Heading2"/>
      </w:pPr>
      <w:r>
        <w:t xml:space="preserve">5. Data Analysis</w:t>
      </w:r>
    </w:p>
    <w:p>
      <w:pPr>
        <w:pStyle w:val="FirstParagraph"/>
      </w:pPr>
      <w:r>
        <w:t xml:space="preserve">Quantitative data will be analyzed using statistical software to identify trends, correlations, and significant differences in lawyer performance across Auckland. Qualitative data will undergo thematic analysis to uncover recurring issues and best practices. Special attention will be paid to disparities in service quality between different socioeconomic groups and geographic areas within Auckland.</w:t>
      </w:r>
    </w:p>
    <w:bookmarkEnd w:id="28"/>
    <w:bookmarkStart w:id="29" w:name="expected-outcomes-and-impact"/>
    <w:p>
      <w:pPr>
        <w:pStyle w:val="Heading2"/>
      </w:pPr>
      <w:r>
        <w:t xml:space="preserve">6. Expected Outcomes and Impact</w:t>
      </w:r>
    </w:p>
    <w:p>
      <w:pPr>
        <w:pStyle w:val="FirstParagraph"/>
      </w:pPr>
      <w:r>
        <w:t xml:space="preserve">This experiment aims to produce a comprehensive report that highlights strengths and weaknesses in the current legal service delivery model in New Zealand Auckland. Findings will be shared with the Law Society of New Zealand, the Ministry of Justice, and local legal aid providers. The ultimate goal is to drive improvements in lawyer accountability, enhance access to justice for all Aucklanders, and foster a more transparent and equitable legal system.</w:t>
      </w:r>
    </w:p>
    <w:bookmarkEnd w:id="29"/>
    <w:bookmarkStart w:id="30" w:name="conclusion"/>
    <w:p>
      <w:pPr>
        <w:pStyle w:val="Heading2"/>
      </w:pPr>
      <w:r>
        <w:t xml:space="preserve">7. Conclusion</w:t>
      </w:r>
    </w:p>
    <w:p>
      <w:pPr>
        <w:pStyle w:val="FirstParagraph"/>
      </w:pPr>
      <w:r>
        <w:t xml:space="preserve">By systematically evaluating the practices of lawyers in Auckland, this Experiment Protocol seeks to contribute valuable insights to the ongoing discourse on legal reform in New Zealand. The results will not only benefit consumers but also provide lawyers with actionable feedback to improve their services and uphold the highest standards of professional integrity.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Service Accessibility in Auckland</dc:title>
  <dc:creator/>
  <dc:language>en</dc:language>
  <cp:keywords/>
  <dcterms:created xsi:type="dcterms:W3CDTF">2026-10-10T03:53:49Z</dcterms:created>
  <dcterms:modified xsi:type="dcterms:W3CDTF">2026-10-10T03:53:49Z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