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Delivery</w:t>
      </w:r>
      <w:r>
        <w:t xml:space="preserve"> </w:t>
      </w:r>
      <w:r>
        <w:t xml:space="preserve">in</w:t>
      </w:r>
      <w:r>
        <w:t xml:space="preserve"> </w:t>
      </w:r>
      <w:r>
        <w:t xml:space="preserve">Wellington</w:t>
      </w:r>
    </w:p>
    <w:bookmarkStart w:id="33" w:name="X6feeb9cee9f61ccd6cff4d3fda18bfa32c576a2"/>
    <w:p>
      <w:pPr>
        <w:pStyle w:val="Heading1"/>
      </w:pPr>
      <w:r>
        <w:t xml:space="preserve">Experiment Protocol: Comparative Analysis of Legal Consultation Efficiency</w:t>
      </w:r>
    </w:p>
    <w:p>
      <w:pPr>
        <w:pStyle w:val="FirstParagraph"/>
      </w:pPr>
      <w:r>
        <w:rPr>
          <w:bCs/>
          <w:b/>
        </w:rPr>
        <w:t xml:space="preserve">Project Title:</w:t>
      </w:r>
      <w:r>
        <w:t xml:space="preserve"> </w:t>
      </w:r>
      <w:r>
        <w:t xml:space="preserve">Optimizing Client Intake and Case Assessment for the Lawyer in New Zealand Wellington</w:t>
      </w:r>
    </w:p>
    <w:p>
      <w:pPr>
        <w:pStyle w:val="BodyText"/>
      </w:pPr>
      <w:r>
        <w:rPr>
          <w:bCs/>
          <w:b/>
        </w:rPr>
        <w:t xml:space="preserve">Location:</w:t>
      </w:r>
      <w:r>
        <w:t xml:space="preserve"> </w:t>
      </w:r>
      <w:r>
        <w:t xml:space="preserve">Wellington, New Zealand</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The legal landscape in New Zealand Wellington is characterized by a high density of professional services and a sophisticated client base. For a Lawyer operating in this jurisdiction, the ability to efficiently assess case viability, manage client expectations, and adhere to the strict ethical guidelines set by the New Zealand Law Society is paramount. This Experiment Protocol outlines a structured approach to testing a new digital triage system designed to streamline the initial consultation process.</w:t>
      </w:r>
    </w:p>
    <w:p>
      <w:pPr>
        <w:pStyle w:val="BodyText"/>
      </w:pPr>
      <w:r>
        <w:t xml:space="preserve">The primary objective is to determine if an automated pre-screening tool can reduce the administrative burden on the Lawyer without compromising the quality of legal advice or client satisfaction. Wellington clients, known for their high expectations regarding transparency and efficiency, provide an ideal demographic for this study.</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reduction in time spent by the Lawyer on initial case fact-finding.</w:t>
      </w:r>
    </w:p>
    <w:p>
      <w:pPr>
        <w:numPr>
          <w:ilvl w:val="0"/>
          <w:numId w:val="1001"/>
        </w:numPr>
        <w:pStyle w:val="Compact"/>
      </w:pPr>
      <w:r>
        <w:t xml:space="preserve">To assess the accuracy of the automated triage system in categorizing legal issues relevant to New Zealand law.</w:t>
      </w:r>
    </w:p>
    <w:p>
      <w:pPr>
        <w:numPr>
          <w:ilvl w:val="0"/>
          <w:numId w:val="1001"/>
        </w:numPr>
        <w:pStyle w:val="Compact"/>
      </w:pPr>
      <w:r>
        <w:t xml:space="preserve">To evaluate client satisfaction levels in Wellington regarding the new intake process compared to traditional methods.</w:t>
      </w:r>
    </w:p>
    <w:p>
      <w:pPr>
        <w:numPr>
          <w:ilvl w:val="0"/>
          <w:numId w:val="1001"/>
        </w:numPr>
        <w:pStyle w:val="Compact"/>
      </w:pPr>
      <w:r>
        <w:t xml:space="preserve">To ensure full compliance with the Privacy Act 2020 and the Lawyers and Conveyancers Act 2006.</w:t>
      </w:r>
    </w:p>
    <w:bookmarkEnd w:id="21"/>
    <w:bookmarkStart w:id="24"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randomized controlled trial (RCT) design. Prospective clients seeking legal assistance from the Lawyer in New Zealand Wellington will be randomly assigned to one of two groups:</w:t>
      </w:r>
    </w:p>
    <w:p>
      <w:pPr>
        <w:numPr>
          <w:ilvl w:val="0"/>
          <w:numId w:val="1002"/>
        </w:numPr>
        <w:pStyle w:val="Compact"/>
      </w:pPr>
      <w:r>
        <w:rPr>
          <w:bCs/>
          <w:b/>
        </w:rPr>
        <w:t xml:space="preserve">Control Group:</w:t>
      </w:r>
      <w:r>
        <w:t xml:space="preserve"> </w:t>
      </w:r>
      <w:r>
        <w:t xml:space="preserve">Clients will undergo the traditional intake process, involving a direct phone call or email exchange with the Lawyer or a paralegal to gather initial facts.</w:t>
      </w:r>
    </w:p>
    <w:p>
      <w:pPr>
        <w:numPr>
          <w:ilvl w:val="0"/>
          <w:numId w:val="1002"/>
        </w:numPr>
        <w:pStyle w:val="Compact"/>
      </w:pPr>
      <w:r>
        <w:rPr>
          <w:bCs/>
          <w:b/>
        </w:rPr>
        <w:t xml:space="preserve">Experimental Group:</w:t>
      </w:r>
      <w:r>
        <w:t xml:space="preserve"> </w:t>
      </w:r>
      <w:r>
        <w:t xml:space="preserve">Clients will be directed to a secure web portal to complete a structured questionnaire before their consultation with the Lawyer.</w:t>
      </w:r>
    </w:p>
    <w:bookmarkEnd w:id="22"/>
    <w:bookmarkStart w:id="23" w:name="participants"/>
    <w:p>
      <w:pPr>
        <w:pStyle w:val="Heading3"/>
      </w:pPr>
      <w:r>
        <w:t xml:space="preserve">3.2 Participants</w:t>
      </w:r>
    </w:p>
    <w:p>
      <w:pPr>
        <w:pStyle w:val="FirstParagraph"/>
      </w:pPr>
      <w:r>
        <w:t xml:space="preserve">The study will recruit 200 participants from the Wellington region. Inclusion criteria require participants to be residents of New Zealand Wellington or surrounding areas seeking legal advice in civil matters (e.g., family law, property disputes, or employment issues). Exclusion criteria include criminal defense cases, which require immediate and specialized attention not suitable for automated triage.</w:t>
      </w:r>
    </w:p>
    <w:bookmarkEnd w:id="23"/>
    <w:bookmarkEnd w:id="24"/>
    <w:bookmarkStart w:id="28" w:name="procedures"/>
    <w:p>
      <w:pPr>
        <w:pStyle w:val="Heading2"/>
      </w:pPr>
      <w:r>
        <w:t xml:space="preserve">4. Procedures</w:t>
      </w:r>
    </w:p>
    <w:bookmarkStart w:id="25" w:name="recruitment"/>
    <w:p>
      <w:pPr>
        <w:pStyle w:val="Heading3"/>
      </w:pPr>
      <w:r>
        <w:t xml:space="preserve">4.1 Recruitment</w:t>
      </w:r>
    </w:p>
    <w:p>
      <w:pPr>
        <w:pStyle w:val="FirstParagraph"/>
      </w:pPr>
      <w:r>
        <w:t xml:space="preserve">Recruitment will occur through the Lawyer’s existing marketing channels in Wellington, including local legal directories and community outreach programs. Participants will be informed of the study’s nature and will provide informed consent prior to participation.</w:t>
      </w:r>
    </w:p>
    <w:bookmarkEnd w:id="25"/>
    <w:bookmarkStart w:id="26" w:name="data-collection"/>
    <w:p>
      <w:pPr>
        <w:pStyle w:val="Heading3"/>
      </w:pPr>
      <w:r>
        <w:t xml:space="preserve">4.2 Data Collection</w:t>
      </w:r>
    </w:p>
    <w:p>
      <w:pPr>
        <w:pStyle w:val="FirstParagraph"/>
      </w:pPr>
      <w:r>
        <w:t xml:space="preserve">For the Experimental Group, the Lawyer will utilize a secure, encrypted platform to collect data. The questionnaire will be designed to extract key legal elements necessary for a preliminary assessment under New Zealand law. This includes details regarding jurisdiction, parties involved, and the nature of the dispute.</w:t>
      </w:r>
    </w:p>
    <w:p>
      <w:pPr>
        <w:pStyle w:val="BodyText"/>
      </w:pPr>
      <w:r>
        <w:t xml:space="preserve">For the Control Group, the Lawyer will record the duration of the initial intake call and the completeness of the information gathered using a standardized checklist.</w:t>
      </w:r>
    </w:p>
    <w:bookmarkEnd w:id="26"/>
    <w:bookmarkStart w:id="27" w:name="intervention"/>
    <w:p>
      <w:pPr>
        <w:pStyle w:val="Heading3"/>
      </w:pPr>
      <w:r>
        <w:t xml:space="preserve">4.3 Intervention</w:t>
      </w:r>
    </w:p>
    <w:p>
      <w:pPr>
        <w:pStyle w:val="FirstParagraph"/>
      </w:pPr>
      <w:r>
        <w:t xml:space="preserve">The core intervention is the implementation of the digital triage tool. The Lawyer will review the outputs from the Experimental Group’s questionnaire prior to the consultation. This allows the Lawyer to prepare specific legal strategies and identify potential conflicts of interest more efficiently. The consultation itself will remain face-to-face or via video conference, ensuring the personal touch valued by Wellington clients is maintained.</w:t>
      </w:r>
    </w:p>
    <w:bookmarkEnd w:id="27"/>
    <w:bookmarkEnd w:id="28"/>
    <w:bookmarkStart w:id="29" w:name="ethical-considerations"/>
    <w:p>
      <w:pPr>
        <w:pStyle w:val="Heading2"/>
      </w:pPr>
      <w:r>
        <w:t xml:space="preserve">5. Ethical Considerations</w:t>
      </w:r>
    </w:p>
    <w:p>
      <w:pPr>
        <w:pStyle w:val="FirstParagraph"/>
      </w:pPr>
      <w:r>
        <w:t xml:space="preserve">Given the sensitive nature of legal matters, ethical compliance is critical. The Lawyer must adhere to the following:</w:t>
      </w:r>
    </w:p>
    <w:p>
      <w:pPr>
        <w:numPr>
          <w:ilvl w:val="0"/>
          <w:numId w:val="1003"/>
        </w:numPr>
        <w:pStyle w:val="Compact"/>
      </w:pPr>
      <w:r>
        <w:rPr>
          <w:bCs/>
          <w:b/>
        </w:rPr>
        <w:t xml:space="preserve">Confidentiality:</w:t>
      </w:r>
      <w:r>
        <w:t xml:space="preserve"> </w:t>
      </w:r>
      <w:r>
        <w:t xml:space="preserve">All data collected must be stored in compliance with the Privacy Act 2020. Data will be anonymized for analysis purposes.</w:t>
      </w:r>
    </w:p>
    <w:p>
      <w:pPr>
        <w:numPr>
          <w:ilvl w:val="0"/>
          <w:numId w:val="1003"/>
        </w:numPr>
        <w:pStyle w:val="Compact"/>
      </w:pPr>
      <w:r>
        <w:rPr>
          <w:bCs/>
          <w:b/>
        </w:rPr>
        <w:t xml:space="preserve">Informed Consent:</w:t>
      </w:r>
      <w:r>
        <w:t xml:space="preserve"> </w:t>
      </w:r>
      <w:r>
        <w:t xml:space="preserve">Participants must clearly understand that their data is being used for research purposes to improve service delivery.</w:t>
      </w:r>
    </w:p>
    <w:p>
      <w:pPr>
        <w:numPr>
          <w:ilvl w:val="0"/>
          <w:numId w:val="1003"/>
        </w:numPr>
        <w:pStyle w:val="Compact"/>
      </w:pPr>
      <w:r>
        <w:rPr>
          <w:bCs/>
          <w:b/>
        </w:rPr>
        <w:t xml:space="preserve">Professional Conduct:</w:t>
      </w:r>
      <w:r>
        <w:t xml:space="preserve"> </w:t>
      </w:r>
      <w:r>
        <w:t xml:space="preserve">The Lawyer must ensure that the use of technology does not create a conflict of interest or breach the duties owed to the client under the Lawyers and Conveyancers Act 2006.</w:t>
      </w:r>
    </w:p>
    <w:bookmarkEnd w:id="29"/>
    <w:bookmarkStart w:id="30" w:name="data-analysis"/>
    <w:p>
      <w:pPr>
        <w:pStyle w:val="Heading2"/>
      </w:pPr>
      <w:r>
        <w:t xml:space="preserve">6. Data Analysis</w:t>
      </w:r>
    </w:p>
    <w:p>
      <w:pPr>
        <w:pStyle w:val="FirstParagraph"/>
      </w:pPr>
      <w:r>
        <w:t xml:space="preserve">Data will be analyzed using statistical software to compare the two groups. Key metrics include:</w:t>
      </w:r>
    </w:p>
    <w:p>
      <w:pPr>
        <w:numPr>
          <w:ilvl w:val="0"/>
          <w:numId w:val="1004"/>
        </w:numPr>
        <w:pStyle w:val="Compact"/>
      </w:pPr>
      <w:r>
        <w:rPr>
          <w:bCs/>
          <w:b/>
        </w:rPr>
        <w:t xml:space="preserve">Time Efficiency:</w:t>
      </w:r>
      <w:r>
        <w:t xml:space="preserve"> </w:t>
      </w:r>
      <w:r>
        <w:t xml:space="preserve">Average time spent by the Lawyer on intake per client.</w:t>
      </w:r>
    </w:p>
    <w:p>
      <w:pPr>
        <w:numPr>
          <w:ilvl w:val="0"/>
          <w:numId w:val="1004"/>
        </w:numPr>
        <w:pStyle w:val="Compact"/>
      </w:pPr>
      <w:r>
        <w:rPr>
          <w:bCs/>
          <w:b/>
        </w:rPr>
        <w:t xml:space="preserve">Accuracy:</w:t>
      </w:r>
      <w:r>
        <w:t xml:space="preserve"> </w:t>
      </w:r>
      <w:r>
        <w:t xml:space="preserve">Percentage of cases correctly categorized by the triage tool versus the Lawyer’s initial assessment.</w:t>
      </w:r>
    </w:p>
    <w:p>
      <w:pPr>
        <w:numPr>
          <w:ilvl w:val="0"/>
          <w:numId w:val="1004"/>
        </w:numPr>
        <w:pStyle w:val="Compact"/>
      </w:pPr>
      <w:r>
        <w:rPr>
          <w:bCs/>
          <w:b/>
        </w:rPr>
        <w:t xml:space="preserve">Client Satisfaction:</w:t>
      </w:r>
      <w:r>
        <w:t xml:space="preserve"> </w:t>
      </w:r>
      <w:r>
        <w:t xml:space="preserve">Scores from post-consultation surveys regarding the ease and professionalism of the intake process.</w:t>
      </w:r>
    </w:p>
    <w:p>
      <w:pPr>
        <w:pStyle w:val="FirstParagraph"/>
      </w:pPr>
      <w:r>
        <w:t xml:space="preserve">The analysis will specifically look for correlations between the use of the digital tool and the Lawyer’s ability to provide more targeted advice during the consultation.</w:t>
      </w:r>
    </w:p>
    <w:bookmarkEnd w:id="30"/>
    <w:bookmarkStart w:id="31" w:name="expected-outcomes"/>
    <w:p>
      <w:pPr>
        <w:pStyle w:val="Heading2"/>
      </w:pPr>
      <w:r>
        <w:t xml:space="preserve">7. Expected Outcomes</w:t>
      </w:r>
    </w:p>
    <w:p>
      <w:pPr>
        <w:pStyle w:val="FirstParagraph"/>
      </w:pPr>
      <w:r>
        <w:t xml:space="preserve">It is anticipated that the Experimental Group will demonstrate a significant reduction in intake time for the Lawyer, allowing for more time to be dedicated to substantive legal work. Furthermore, the structured nature of the questionnaire is expected to result in more comprehensive initial case files, reducing the likelihood of missed details. For clients in New Zealand Wellington, the process is expected to be perceived as modern and efficient, enhancing the Lawyer’s reputation for innovation and client-centric service.</w:t>
      </w:r>
    </w:p>
    <w:bookmarkEnd w:id="31"/>
    <w:bookmarkStart w:id="32" w:name="conclusion"/>
    <w:p>
      <w:pPr>
        <w:pStyle w:val="Heading2"/>
      </w:pPr>
      <w:r>
        <w:t xml:space="preserve">8. Conclusion</w:t>
      </w:r>
    </w:p>
    <w:p>
      <w:pPr>
        <w:pStyle w:val="FirstParagraph"/>
      </w:pPr>
      <w:r>
        <w:t xml:space="preserve">This Experiment Protocol provides a rigorous framework for evaluating the integration of technology into legal practice. By focusing on the specific needs of the Lawyer and the expectations of clients in New Zealand Wellington, this study aims to contribute valuable insights to the legal profession. The findings will inform future decisions regarding the adoption of digital tools in legal service delivery, ensuring that the Lawyer can maintain high standards of practice while improving operational efficiency.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Delivery in Wellington</dc:title>
  <dc:creator/>
  <dc:language>en</dc:language>
  <cp:keywords/>
  <dcterms:created xsi:type="dcterms:W3CDTF">2026-10-10T03:53:12Z</dcterms:created>
  <dcterms:modified xsi:type="dcterms:W3CDTF">2026-10-10T03:53:12Z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