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Accessibility</w:t>
      </w:r>
      <w:r>
        <w:t xml:space="preserve"> </w:t>
      </w:r>
      <w:r>
        <w:t xml:space="preserve">in</w:t>
      </w:r>
      <w:r>
        <w:t xml:space="preserve"> </w:t>
      </w:r>
      <w:r>
        <w:t xml:space="preserve">Lima,</w:t>
      </w:r>
      <w:r>
        <w:t xml:space="preserve"> </w:t>
      </w:r>
      <w:r>
        <w:t xml:space="preserve">Peru</w:t>
      </w:r>
    </w:p>
    <w:bookmarkStart w:id="20" w:name="Xfb96fd1f54f4f2ac454bdaa4653728dadaa6c54"/>
    <w:p>
      <w:pPr>
        <w:pStyle w:val="Heading1"/>
      </w:pPr>
      <w:r>
        <w:t xml:space="preserve">Experiment Protocol: Legal Service Accessibility and Efficiency</w:t>
      </w:r>
    </w:p>
    <w:p>
      <w:pPr>
        <w:pStyle w:val="FirstParagraph"/>
      </w:pPr>
      <w:r>
        <w:rPr>
          <w:bCs/>
          <w:b/>
        </w:rPr>
        <w:t xml:space="preserve">Subject:</w:t>
      </w:r>
      <w:r>
        <w:t xml:space="preserve"> </w:t>
      </w:r>
      <w:r>
        <w:t xml:space="preserve">Lawyer Performance and Client Interaction</w:t>
      </w:r>
    </w:p>
    <w:p>
      <w:pPr>
        <w:pStyle w:val="BodyText"/>
      </w:pPr>
      <w:r>
        <w:rPr>
          <w:bCs/>
          <w:b/>
        </w:rPr>
        <w:t xml:space="preserve">Location:</w:t>
      </w:r>
      <w:r>
        <w:t xml:space="preserve"> </w:t>
      </w:r>
      <w:r>
        <w:t xml:space="preserve">Lima, Peru</w:t>
      </w:r>
    </w:p>
    <w:p>
      <w:pPr>
        <w:pStyle w:val="BodyText"/>
      </w:pPr>
      <w:r>
        <w:rPr>
          <w:bCs/>
          <w:b/>
        </w:rPr>
        <w:t xml:space="preserve">Protocol ID:</w:t>
      </w:r>
      <w:r>
        <w:t xml:space="preserve"> </w:t>
      </w:r>
      <w:r>
        <w:t xml:space="preserve">EXP-LIMA-LAW-2024-001</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legal landscape in</w:t>
      </w:r>
      <w:r>
        <w:t xml:space="preserve"> </w:t>
      </w:r>
      <w:r>
        <w:rPr>
          <w:bCs/>
          <w:b/>
        </w:rPr>
        <w:t xml:space="preserve">Peru Lima</w:t>
      </w:r>
      <w:r>
        <w:t xml:space="preserve"> </w:t>
      </w:r>
      <w:r>
        <w:t xml:space="preserve">is characterized by a complex interplay of civil law traditions, high litigation volumes, and significant disparities in access to justice. This</w:t>
      </w:r>
      <w:r>
        <w:t xml:space="preserve"> </w:t>
      </w:r>
      <w:r>
        <w:rPr>
          <w:bCs/>
          <w:b/>
        </w:rPr>
        <w:t xml:space="preserve">Experiment Protocol</w:t>
      </w:r>
      <w:r>
        <w:t xml:space="preserve"> </w:t>
      </w:r>
      <w:r>
        <w:t xml:space="preserve">aims to evaluate the efficiency, communication clarity, and procedural adherence of the</w:t>
      </w:r>
      <w:r>
        <w:t xml:space="preserve"> </w:t>
      </w:r>
      <w:r>
        <w:rPr>
          <w:bCs/>
          <w:b/>
        </w:rPr>
        <w:t xml:space="preserve">Lawyer</w:t>
      </w:r>
      <w:r>
        <w:t xml:space="preserve"> </w:t>
      </w:r>
      <w:r>
        <w:t xml:space="preserve">profession within the judicial districts of Lima Metropolitana.</w:t>
      </w:r>
    </w:p>
    <w:p>
      <w:pPr>
        <w:pStyle w:val="BodyText"/>
      </w:pPr>
      <w:r>
        <w:t xml:space="preserve">Recent studies suggest that procedural delays and communication gaps between the</w:t>
      </w:r>
      <w:r>
        <w:t xml:space="preserve"> </w:t>
      </w:r>
      <w:r>
        <w:rPr>
          <w:bCs/>
          <w:b/>
        </w:rPr>
        <w:t xml:space="preserve">Lawyer</w:t>
      </w:r>
      <w:r>
        <w:t xml:space="preserve"> </w:t>
      </w:r>
      <w:r>
        <w:t xml:space="preserve">and the client contribute significantly to case backlogs in Lima's courts. This experiment seeks to quantify these variables by observing real-world interactions and case management strategies employed by legal practitioners in the region.</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average response time of a</w:t>
      </w:r>
      <w:r>
        <w:t xml:space="preserve"> </w:t>
      </w:r>
      <w:r>
        <w:rPr>
          <w:bCs/>
          <w:b/>
        </w:rPr>
        <w:t xml:space="preserve">Lawyer</w:t>
      </w:r>
      <w:r>
        <w:t xml:space="preserve"> </w:t>
      </w:r>
      <w:r>
        <w:t xml:space="preserve">in Lima to client inquiries regarding civil and commercial matters.</w:t>
      </w:r>
    </w:p>
    <w:p>
      <w:pPr>
        <w:numPr>
          <w:ilvl w:val="0"/>
          <w:numId w:val="1001"/>
        </w:numPr>
        <w:pStyle w:val="Compact"/>
      </w:pPr>
      <w:r>
        <w:t xml:space="preserve">To assess the clarity of legal explanations provided by the</w:t>
      </w:r>
      <w:r>
        <w:t xml:space="preserve"> </w:t>
      </w:r>
      <w:r>
        <w:rPr>
          <w:bCs/>
          <w:b/>
        </w:rPr>
        <w:t xml:space="preserve">Lawyer</w:t>
      </w:r>
      <w:r>
        <w:t xml:space="preserve"> </w:t>
      </w:r>
      <w:r>
        <w:t xml:space="preserve">to non-expert clients in the context of Peruvian law.</w:t>
      </w:r>
    </w:p>
    <w:p>
      <w:pPr>
        <w:numPr>
          <w:ilvl w:val="0"/>
          <w:numId w:val="1001"/>
        </w:numPr>
        <w:pStyle w:val="Compact"/>
      </w:pPr>
      <w:r>
        <w:t xml:space="preserve">To evaluate the utilization of digital tools by the</w:t>
      </w:r>
      <w:r>
        <w:t xml:space="preserve"> </w:t>
      </w:r>
      <w:r>
        <w:rPr>
          <w:bCs/>
          <w:b/>
        </w:rPr>
        <w:t xml:space="preserve">Lawyer</w:t>
      </w:r>
      <w:r>
        <w:t xml:space="preserve"> </w:t>
      </w:r>
      <w:r>
        <w:t xml:space="preserve">for case filing within the Lima judicial system.</w:t>
      </w:r>
    </w:p>
    <w:p>
      <w:pPr>
        <w:numPr>
          <w:ilvl w:val="0"/>
          <w:numId w:val="1001"/>
        </w:numPr>
        <w:pStyle w:val="Compact"/>
      </w:pPr>
      <w:r>
        <w:t xml:space="preserve">To identify bottlenecks in the workflow of the</w:t>
      </w:r>
      <w:r>
        <w:t xml:space="preserve"> </w:t>
      </w:r>
      <w:r>
        <w:rPr>
          <w:bCs/>
          <w:b/>
        </w:rPr>
        <w:t xml:space="preserve">Lawyer</w:t>
      </w:r>
      <w:r>
        <w:t xml:space="preserve"> </w:t>
      </w:r>
      <w:r>
        <w:t xml:space="preserve">that may be specific to the administrative environment of</w:t>
      </w:r>
      <w:r>
        <w:t xml:space="preserve"> </w:t>
      </w:r>
      <w:r>
        <w:rPr>
          <w:bCs/>
          <w:b/>
        </w:rPr>
        <w:t xml:space="preserve">Peru Lima</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data collection with qualitative observational analysis. The study will be conducted over a period of six months across three major judicial districts in Lima: Lima Cercado, San Isidro, and Callao.</w:t>
      </w:r>
    </w:p>
    <w:bookmarkEnd w:id="23"/>
    <w:bookmarkStart w:id="24" w:name="participants"/>
    <w:p>
      <w:pPr>
        <w:pStyle w:val="Heading3"/>
      </w:pPr>
      <w:r>
        <w:t xml:space="preserve">3.2 Participants</w:t>
      </w:r>
    </w:p>
    <w:p>
      <w:pPr>
        <w:pStyle w:val="FirstParagraph"/>
      </w:pPr>
      <w:r>
        <w:t xml:space="preserve">The participants in this experiment will be licensed</w:t>
      </w:r>
      <w:r>
        <w:t xml:space="preserve"> </w:t>
      </w:r>
      <w:r>
        <w:rPr>
          <w:bCs/>
          <w:b/>
        </w:rPr>
        <w:t xml:space="preserve">Lawyer</w:t>
      </w:r>
      <w:r>
        <w:t xml:space="preserve"> </w:t>
      </w:r>
      <w:r>
        <w:t xml:space="preserve">professionals registered with the Colegio de Abogados de Lima. A total of 50</w:t>
      </w:r>
      <w:r>
        <w:t xml:space="preserve"> </w:t>
      </w:r>
      <w:r>
        <w:rPr>
          <w:bCs/>
          <w:b/>
        </w:rPr>
        <w:t xml:space="preserve">Lawyer</w:t>
      </w:r>
      <w:r>
        <w:t xml:space="preserve"> </w:t>
      </w:r>
      <w:r>
        <w:t xml:space="preserve">participants will be selected through stratified random sampling to ensure representation across different practice areas (civil, criminal, commercial, and family law).</w:t>
      </w:r>
    </w:p>
    <w:bookmarkEnd w:id="24"/>
    <w:bookmarkStart w:id="25" w:name="procedure"/>
    <w:p>
      <w:pPr>
        <w:pStyle w:val="Heading3"/>
      </w:pPr>
      <w:r>
        <w:t xml:space="preserve">3.3 Procedure</w:t>
      </w:r>
    </w:p>
    <w:p>
      <w:pPr>
        <w:pStyle w:val="FirstParagraph"/>
      </w:pPr>
      <w:r>
        <w:t xml:space="preserve">The experiment involves the following steps:</w:t>
      </w:r>
    </w:p>
    <w:p>
      <w:pPr>
        <w:numPr>
          <w:ilvl w:val="0"/>
          <w:numId w:val="1002"/>
        </w:numPr>
        <w:pStyle w:val="Compact"/>
      </w:pPr>
      <w:r>
        <w:rPr>
          <w:bCs/>
          <w:b/>
        </w:rPr>
        <w:t xml:space="preserve">Phase 1: Baseline Assessment.</w:t>
      </w:r>
      <w:r>
        <w:t xml:space="preserve"> </w:t>
      </w:r>
      <w:r>
        <w:t xml:space="preserve">Each</w:t>
      </w:r>
      <w:r>
        <w:t xml:space="preserve"> </w:t>
      </w:r>
      <w:r>
        <w:rPr>
          <w:bCs/>
          <w:b/>
        </w:rPr>
        <w:t xml:space="preserve">Lawyer</w:t>
      </w:r>
      <w:r>
        <w:t xml:space="preserve"> </w:t>
      </w:r>
      <w:r>
        <w:t xml:space="preserve">will complete a survey detailing their current workload, digital infrastructure, and typical case load in</w:t>
      </w:r>
      <w:r>
        <w:t xml:space="preserve"> </w:t>
      </w:r>
      <w:r>
        <w:rPr>
          <w:bCs/>
          <w:b/>
        </w:rPr>
        <w:t xml:space="preserve">Peru Lima</w:t>
      </w:r>
      <w:r>
        <w:t xml:space="preserve">.</w:t>
      </w:r>
    </w:p>
    <w:p>
      <w:pPr>
        <w:numPr>
          <w:ilvl w:val="0"/>
          <w:numId w:val="1002"/>
        </w:numPr>
        <w:pStyle w:val="Compact"/>
      </w:pPr>
      <w:r>
        <w:rPr>
          <w:bCs/>
          <w:b/>
        </w:rPr>
        <w:t xml:space="preserve">Phase 2: Simulated Client Interaction.</w:t>
      </w:r>
      <w:r>
        <w:t xml:space="preserve"> </w:t>
      </w:r>
      <w:r>
        <w:t xml:space="preserve">A standardized "mystery client" scenario will be introduced to each</w:t>
      </w:r>
      <w:r>
        <w:t xml:space="preserve"> </w:t>
      </w:r>
      <w:r>
        <w:rPr>
          <w:bCs/>
          <w:b/>
        </w:rPr>
        <w:t xml:space="preserve">Lawyer</w:t>
      </w:r>
      <w:r>
        <w:t xml:space="preserve">. The scenario involves a common legal issue in Lima, such as a rental dispute or small claims debt. The</w:t>
      </w:r>
      <w:r>
        <w:t xml:space="preserve"> </w:t>
      </w:r>
      <w:r>
        <w:rPr>
          <w:bCs/>
          <w:b/>
        </w:rPr>
        <w:t xml:space="preserve">Lawyer</w:t>
      </w:r>
      <w:r>
        <w:t xml:space="preserve">'s response time, tone, and accuracy of legal advice will be recorded.</w:t>
      </w:r>
    </w:p>
    <w:p>
      <w:pPr>
        <w:numPr>
          <w:ilvl w:val="0"/>
          <w:numId w:val="1002"/>
        </w:numPr>
        <w:pStyle w:val="Compact"/>
      </w:pPr>
      <w:r>
        <w:rPr>
          <w:bCs/>
          <w:b/>
        </w:rPr>
        <w:t xml:space="preserve">Phase 3: Case Management Observation.</w:t>
      </w:r>
      <w:r>
        <w:t xml:space="preserve"> </w:t>
      </w:r>
      <w:r>
        <w:t xml:space="preserve">With consent, researchers will observe the</w:t>
      </w:r>
      <w:r>
        <w:t xml:space="preserve"> </w:t>
      </w:r>
      <w:r>
        <w:rPr>
          <w:bCs/>
          <w:b/>
        </w:rPr>
        <w:t xml:space="preserve">Lawyer</w:t>
      </w:r>
      <w:r>
        <w:t xml:space="preserve">'s workflow for one week, focusing on document preparation and interaction with the Lima judicial electronic system (Sistema de Gestión Procesal).</w:t>
      </w:r>
    </w:p>
    <w:bookmarkEnd w:id="25"/>
    <w:bookmarkEnd w:id="26"/>
    <w:bookmarkStart w:id="27" w:name="variables-and-metrics"/>
    <w:p>
      <w:pPr>
        <w:pStyle w:val="Heading2"/>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Independent</w:t>
            </w:r>
          </w:p>
        </w:tc>
        <w:tc>
          <w:tcPr/>
          <w:p>
            <w:pPr>
              <w:pStyle w:val="Compact"/>
              <w:jc w:val="left"/>
            </w:pPr>
            <w:r>
              <w:t xml:space="preserve">Practice Area of the Lawyer</w:t>
            </w:r>
          </w:p>
        </w:tc>
        <w:tc>
          <w:tcPr/>
          <w:p>
            <w:pPr>
              <w:pStyle w:val="Compact"/>
              <w:jc w:val="left"/>
            </w:pPr>
            <w:r>
              <w:t xml:space="preserve">Categorical (Civil, Criminal, etc.)</w:t>
            </w:r>
          </w:p>
        </w:tc>
      </w:tr>
      <w:tr>
        <w:tc>
          <w:tcPr/>
          <w:p>
            <w:pPr>
              <w:pStyle w:val="Compact"/>
              <w:jc w:val="left"/>
            </w:pPr>
            <w:r>
              <w:t xml:space="preserve">Independent</w:t>
            </w:r>
          </w:p>
        </w:tc>
        <w:tc>
          <w:tcPr/>
          <w:p>
            <w:pPr>
              <w:pStyle w:val="Compact"/>
              <w:jc w:val="left"/>
            </w:pPr>
            <w:r>
              <w:t xml:space="preserve">Years of Experience in Lima</w:t>
            </w:r>
          </w:p>
        </w:tc>
        <w:tc>
          <w:tcPr/>
          <w:p>
            <w:pPr>
              <w:pStyle w:val="Compact"/>
              <w:jc w:val="left"/>
            </w:pPr>
            <w:r>
              <w:t xml:space="preserve">Years</w:t>
            </w:r>
          </w:p>
        </w:tc>
      </w:tr>
      <w:tr>
        <w:tc>
          <w:tcPr/>
          <w:p>
            <w:pPr>
              <w:pStyle w:val="Compact"/>
              <w:jc w:val="left"/>
            </w:pPr>
            <w:r>
              <w:t xml:space="preserve">Dependent</w:t>
            </w:r>
          </w:p>
        </w:tc>
        <w:tc>
          <w:tcPr/>
          <w:p>
            <w:pPr>
              <w:pStyle w:val="Compact"/>
              <w:jc w:val="left"/>
            </w:pPr>
            <w:r>
              <w:t xml:space="preserve">Client Response Time</w:t>
            </w:r>
          </w:p>
        </w:tc>
        <w:tc>
          <w:tcPr/>
          <w:p>
            <w:pPr>
              <w:pStyle w:val="Compact"/>
              <w:jc w:val="left"/>
            </w:pPr>
            <w:r>
              <w:t xml:space="preserve">Hours</w:t>
            </w:r>
          </w:p>
        </w:tc>
      </w:tr>
      <w:tr>
        <w:tc>
          <w:tcPr/>
          <w:p>
            <w:pPr>
              <w:pStyle w:val="Compact"/>
              <w:jc w:val="left"/>
            </w:pPr>
            <w:r>
              <w:t xml:space="preserve">Dependent</w:t>
            </w:r>
          </w:p>
        </w:tc>
        <w:tc>
          <w:tcPr/>
          <w:p>
            <w:pPr>
              <w:pStyle w:val="Compact"/>
              <w:jc w:val="left"/>
            </w:pPr>
            <w:r>
              <w:t xml:space="preserve">Legal Clarity Score</w:t>
            </w:r>
          </w:p>
        </w:tc>
        <w:tc>
          <w:tcPr/>
          <w:p>
            <w:pPr>
              <w:pStyle w:val="Compact"/>
              <w:jc w:val="left"/>
            </w:pPr>
            <w:r>
              <w:t xml:space="preserve">Scale of 1-10 (Assessed by mystery client)</w:t>
            </w:r>
          </w:p>
        </w:tc>
      </w:tr>
      <w:tr>
        <w:tc>
          <w:tcPr/>
          <w:p>
            <w:pPr>
              <w:pStyle w:val="Compact"/>
              <w:jc w:val="left"/>
            </w:pPr>
            <w:r>
              <w:t xml:space="preserve">Dependent</w:t>
            </w:r>
          </w:p>
        </w:tc>
        <w:tc>
          <w:tcPr/>
          <w:p>
            <w:pPr>
              <w:pStyle w:val="Compact"/>
              <w:jc w:val="left"/>
            </w:pPr>
            <w:r>
              <w:t xml:space="preserve">Digital Tool Adoption</w:t>
            </w:r>
          </w:p>
        </w:tc>
        <w:tc>
          <w:tcPr/>
          <w:p>
            <w:pPr>
              <w:pStyle w:val="Compact"/>
              <w:jc w:val="left"/>
            </w:pPr>
            <w:r>
              <w:t xml:space="preserve">Frequency of use (Daily, Weekly, Rarely)</w:t>
            </w:r>
          </w:p>
        </w:tc>
      </w:tr>
    </w:tbl>
    <w:bookmarkEnd w:id="27"/>
    <w:bookmarkStart w:id="28" w:name="ethical-considerations"/>
    <w:p>
      <w:pPr>
        <w:pStyle w:val="Heading2"/>
      </w:pPr>
      <w:r>
        <w:t xml:space="preserve">5. Ethical Considerations</w:t>
      </w:r>
    </w:p>
    <w:p>
      <w:pPr>
        <w:pStyle w:val="FirstParagraph"/>
      </w:pPr>
      <w:r>
        <w:t xml:space="preserve">Given the sensitive nature of legal practice in</w:t>
      </w:r>
      <w:r>
        <w:t xml:space="preserve"> </w:t>
      </w:r>
      <w:r>
        <w:rPr>
          <w:bCs/>
          <w:b/>
        </w:rPr>
        <w:t xml:space="preserve">Peru Lima</w:t>
      </w:r>
      <w:r>
        <w:t xml:space="preserve">, this</w:t>
      </w:r>
      <w:r>
        <w:t xml:space="preserve"> </w:t>
      </w:r>
      <w:r>
        <w:rPr>
          <w:bCs/>
          <w:b/>
        </w:rPr>
        <w:t xml:space="preserve">Experiment Protocol</w:t>
      </w:r>
      <w:r>
        <w:t xml:space="preserve"> </w:t>
      </w:r>
      <w:r>
        <w:t xml:space="preserve">strictly adheres to ethical guidelines.</w:t>
      </w:r>
    </w:p>
    <w:p>
      <w:pPr>
        <w:numPr>
          <w:ilvl w:val="0"/>
          <w:numId w:val="1003"/>
        </w:numPr>
        <w:pStyle w:val="Compact"/>
      </w:pPr>
      <w:r>
        <w:rPr>
          <w:bCs/>
          <w:b/>
        </w:rPr>
        <w:t xml:space="preserve">Confidentiality:</w:t>
      </w:r>
      <w:r>
        <w:t xml:space="preserve"> </w:t>
      </w:r>
      <w:r>
        <w:t xml:space="preserve">All client data and case details observed during the experiment will be anonymized. The identity of the</w:t>
      </w:r>
      <w:r>
        <w:t xml:space="preserve"> </w:t>
      </w:r>
      <w:r>
        <w:rPr>
          <w:bCs/>
          <w:b/>
        </w:rPr>
        <w:t xml:space="preserve">Lawyer</w:t>
      </w:r>
      <w:r>
        <w:t xml:space="preserve"> </w:t>
      </w:r>
      <w:r>
        <w:t xml:space="preserve">participants will be protected in all reports.</w:t>
      </w:r>
    </w:p>
    <w:p>
      <w:pPr>
        <w:numPr>
          <w:ilvl w:val="0"/>
          <w:numId w:val="1003"/>
        </w:numPr>
        <w:pStyle w:val="Compact"/>
      </w:pPr>
      <w:r>
        <w:rPr>
          <w:bCs/>
          <w:b/>
        </w:rPr>
        <w:t xml:space="preserve">Informed Consent:</w:t>
      </w:r>
      <w:r>
        <w:t xml:space="preserve"> </w:t>
      </w:r>
      <w:r>
        <w:t xml:space="preserve">Each</w:t>
      </w:r>
      <w:r>
        <w:t xml:space="preserve"> </w:t>
      </w:r>
      <w:r>
        <w:rPr>
          <w:bCs/>
          <w:b/>
        </w:rPr>
        <w:t xml:space="preserve">Lawyer</w:t>
      </w:r>
      <w:r>
        <w:t xml:space="preserve"> </w:t>
      </w:r>
      <w:r>
        <w:t xml:space="preserve">must sign a consent form acknowledging their participation in the study and understanding the scope of observation.</w:t>
      </w:r>
    </w:p>
    <w:p>
      <w:pPr>
        <w:numPr>
          <w:ilvl w:val="0"/>
          <w:numId w:val="1003"/>
        </w:numPr>
        <w:pStyle w:val="Compact"/>
      </w:pPr>
      <w:r>
        <w:rPr>
          <w:bCs/>
          <w:b/>
        </w:rPr>
        <w:t xml:space="preserve">Non-Interference:</w:t>
      </w:r>
      <w:r>
        <w:t xml:space="preserve"> </w:t>
      </w:r>
      <w:r>
        <w:t xml:space="preserve">The experiment will not interfere with ongoing legal proceedings or the professional duties of the</w:t>
      </w:r>
      <w:r>
        <w:t xml:space="preserve"> </w:t>
      </w:r>
      <w:r>
        <w:rPr>
          <w:bCs/>
          <w:b/>
        </w:rPr>
        <w:t xml:space="preserve">Lawyer</w:t>
      </w:r>
      <w:r>
        <w:t xml:space="preserve">.</w:t>
      </w:r>
    </w:p>
    <w:bookmarkEnd w:id="28"/>
    <w:bookmarkStart w:id="29" w:name="data-analysis"/>
    <w:p>
      <w:pPr>
        <w:pStyle w:val="Heading2"/>
      </w:pPr>
      <w:r>
        <w:t xml:space="preserve">6. Data Analysis</w:t>
      </w:r>
    </w:p>
    <w:p>
      <w:pPr>
        <w:pStyle w:val="FirstParagraph"/>
      </w:pPr>
      <w:r>
        <w:t xml:space="preserve">Data collected from this</w:t>
      </w:r>
      <w:r>
        <w:t xml:space="preserve"> </w:t>
      </w:r>
      <w:r>
        <w:rPr>
          <w:bCs/>
          <w:b/>
        </w:rPr>
        <w:t xml:space="preserve">Experiment Protocol</w:t>
      </w:r>
      <w:r>
        <w:t xml:space="preserve"> </w:t>
      </w:r>
      <w:r>
        <w:t xml:space="preserve">will be analyzed using statistical software. Quantitative data, such as response times and clarity scores, will be subjected to descriptive statistics and correlation analysis to identify relationships between the</w:t>
      </w:r>
      <w:r>
        <w:t xml:space="preserve"> </w:t>
      </w:r>
      <w:r>
        <w:rPr>
          <w:bCs/>
          <w:b/>
        </w:rPr>
        <w:t xml:space="preserve">Lawyer</w:t>
      </w:r>
      <w:r>
        <w:t xml:space="preserve">'s experience and performance metrics. Qualitative data from observations will be coded to identify common themes regarding workflow inefficiencies in the Lima legal sector.</w:t>
      </w:r>
    </w:p>
    <w:bookmarkEnd w:id="29"/>
    <w:bookmarkStart w:id="30" w:name="expected-outcomes"/>
    <w:p>
      <w:pPr>
        <w:pStyle w:val="Heading2"/>
      </w:pPr>
      <w:r>
        <w:t xml:space="preserve">7. Expected Outcomes</w:t>
      </w:r>
    </w:p>
    <w:p>
      <w:pPr>
        <w:pStyle w:val="FirstParagraph"/>
      </w:pPr>
      <w:r>
        <w:t xml:space="preserve">This</w:t>
      </w:r>
      <w:r>
        <w:t xml:space="preserve"> </w:t>
      </w:r>
      <w:r>
        <w:rPr>
          <w:bCs/>
          <w:b/>
        </w:rPr>
        <w:t xml:space="preserve">Experiment Protocol</w:t>
      </w:r>
      <w:r>
        <w:t xml:space="preserve"> </w:t>
      </w:r>
      <w:r>
        <w:t xml:space="preserve">anticipates providing actionable insights into the operational challenges faced by the</w:t>
      </w:r>
      <w:r>
        <w:t xml:space="preserve"> </w:t>
      </w:r>
      <w:r>
        <w:rPr>
          <w:bCs/>
          <w:b/>
        </w:rPr>
        <w:t xml:space="preserve">Lawyer</w:t>
      </w:r>
      <w:r>
        <w:t xml:space="preserve"> </w:t>
      </w:r>
      <w:r>
        <w:t xml:space="preserve">profession in</w:t>
      </w:r>
      <w:r>
        <w:t xml:space="preserve"> </w:t>
      </w:r>
      <w:r>
        <w:rPr>
          <w:bCs/>
          <w:b/>
        </w:rPr>
        <w:t xml:space="preserve">Peru Lima</w:t>
      </w:r>
      <w:r>
        <w:t xml:space="preserve">. Expected outcomes include:</w:t>
      </w:r>
    </w:p>
    <w:p>
      <w:pPr>
        <w:numPr>
          <w:ilvl w:val="0"/>
          <w:numId w:val="1004"/>
        </w:numPr>
        <w:pStyle w:val="Compact"/>
      </w:pPr>
      <w:r>
        <w:t xml:space="preserve">A benchmark for average response times and client communication standards in Lima.</w:t>
      </w:r>
    </w:p>
    <w:p>
      <w:pPr>
        <w:numPr>
          <w:ilvl w:val="0"/>
          <w:numId w:val="1004"/>
        </w:numPr>
        <w:pStyle w:val="Compact"/>
      </w:pPr>
      <w:r>
        <w:t xml:space="preserve">Identification of specific areas where digital transformation can improve the efficiency of the</w:t>
      </w:r>
      <w:r>
        <w:t xml:space="preserve"> </w:t>
      </w:r>
      <w:r>
        <w:rPr>
          <w:bCs/>
          <w:b/>
        </w:rPr>
        <w:t xml:space="preserve">Lawyer</w:t>
      </w:r>
      <w:r>
        <w:t xml:space="preserve">.</w:t>
      </w:r>
    </w:p>
    <w:p>
      <w:pPr>
        <w:numPr>
          <w:ilvl w:val="0"/>
          <w:numId w:val="1004"/>
        </w:numPr>
        <w:pStyle w:val="Compact"/>
      </w:pPr>
      <w:r>
        <w:t xml:space="preserve">Recommendations for legal education and continuing professional development tailored to the needs of practitioners in Lima.</w:t>
      </w:r>
    </w:p>
    <w:bookmarkEnd w:id="30"/>
    <w:bookmarkStart w:id="31" w:name="conclusion"/>
    <w:p>
      <w:pPr>
        <w:pStyle w:val="Heading2"/>
      </w:pPr>
      <w:r>
        <w:t xml:space="preserve">8. Conclusion</w:t>
      </w:r>
    </w:p>
    <w:p>
      <w:pPr>
        <w:pStyle w:val="FirstParagraph"/>
      </w:pPr>
      <w:r>
        <w:t xml:space="preserve">By systematically evaluating the practices of the</w:t>
      </w:r>
      <w:r>
        <w:t xml:space="preserve"> </w:t>
      </w:r>
      <w:r>
        <w:rPr>
          <w:bCs/>
          <w:b/>
        </w:rPr>
        <w:t xml:space="preserve">Lawyer</w:t>
      </w:r>
      <w:r>
        <w:t xml:space="preserve"> </w:t>
      </w:r>
      <w:r>
        <w:t xml:space="preserve">in</w:t>
      </w:r>
      <w:r>
        <w:t xml:space="preserve"> </w:t>
      </w:r>
      <w:r>
        <w:rPr>
          <w:bCs/>
          <w:b/>
        </w:rPr>
        <w:t xml:space="preserve">Peru Lima</w:t>
      </w:r>
      <w:r>
        <w:t xml:space="preserve">, this</w:t>
      </w:r>
      <w:r>
        <w:t xml:space="preserve"> </w:t>
      </w:r>
      <w:r>
        <w:rPr>
          <w:bCs/>
          <w:b/>
        </w:rPr>
        <w:t xml:space="preserve">Experiment Protocol</w:t>
      </w:r>
      <w:r>
        <w:t xml:space="preserve"> </w:t>
      </w:r>
      <w:r>
        <w:t xml:space="preserve">aims to contribute to the broader goal of enhancing access to justice and improving the quality of legal services in the region. The findings will be disseminated to relevant legal authorities, academic institutions, and professional associations in Peru.</w:t>
      </w:r>
    </w:p>
    <w:bookmarkEnd w:id="31"/>
    <w:p>
      <w:pPr>
        <w:pStyle w:val="BodyText"/>
      </w:pPr>
      <w:r>
        <w:rPr>
          <w:bCs/>
          <w:b/>
        </w:rPr>
        <w:t xml:space="preserve">Document Control:</w:t>
      </w:r>
      <w:r>
        <w:t xml:space="preserve"> </w:t>
      </w:r>
      <w:r>
        <w:t xml:space="preserve">This document is the property of the Research Institute for Legal Studies. Unauthorized reproduction is prohibited.</w:t>
      </w:r>
    </w:p>
    <w:p>
      <w:pPr>
        <w:pStyle w:val="BodyText"/>
      </w:pPr>
      <w:r>
        <w:rPr>
          <w:bCs/>
          <w:b/>
        </w:rPr>
        <w:t xml:space="preserve">Version:</w:t>
      </w:r>
      <w:r>
        <w:t xml:space="preserve"> </w:t>
      </w:r>
      <w:r>
        <w:t xml:space="preserve">1.0 |</w:t>
      </w:r>
      <w:r>
        <w:t xml:space="preserve"> </w:t>
      </w:r>
      <w:r>
        <w:rPr>
          <w:bCs/>
          <w:b/>
        </w:rPr>
        <w:t xml:space="preserve">Approved By:</w:t>
      </w:r>
      <w:r>
        <w:t xml:space="preserve"> </w:t>
      </w:r>
      <w:r>
        <w:t xml:space="preserve">Ethics Committee for Legal Research,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Accessibility in Lima, Peru</dc:title>
  <dc:creator/>
  <dc:language>en</dc:language>
  <cp:keywords/>
  <dcterms:created xsi:type="dcterms:W3CDTF">2026-10-10T04:29:13Z</dcterms:created>
  <dcterms:modified xsi:type="dcterms:W3CDTF">2026-10-10T04:29:13Z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