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063108dc28bf2e4531af37f224ea9d9fdbc3e4c"/>
    <w:p>
      <w:pPr>
        <w:pStyle w:val="Heading1"/>
      </w:pPr>
      <w:r>
        <w:t xml:space="preserve">Experiment Protocol: Comparative Analysis of Legal Practice Efficiency</w:t>
      </w:r>
    </w:p>
    <w:p>
      <w:pPr>
        <w:pStyle w:val="FirstParagraph"/>
      </w:pPr>
      <w:r>
        <w:rPr>
          <w:bCs/>
          <w:b/>
        </w:rPr>
        <w:t xml:space="preserve">Subject:</w:t>
      </w:r>
      <w:r>
        <w:t xml:space="preserve"> </w:t>
      </w:r>
      <w:r>
        <w:t xml:space="preserve">The Role and Operational Efficacy of the Lawyer in Civil Litigation</w:t>
      </w:r>
    </w:p>
    <w:p>
      <w:pPr>
        <w:pStyle w:val="BodyText"/>
      </w:pPr>
      <w:r>
        <w:rPr>
          <w:bCs/>
          <w:b/>
        </w:rPr>
        <w:t xml:space="preserve">Location:</w:t>
      </w:r>
      <w:r>
        <w:t xml:space="preserve"> </w:t>
      </w:r>
      <w:r>
        <w:t xml:space="preserve">Russia, Saint Petersburg</w:t>
      </w:r>
    </w:p>
    <w:bookmarkEnd w:id="20"/>
    <w:p>
      <w:pPr>
        <w:pStyle w:val="BodyText"/>
      </w:pPr>
      <w:r>
        <w:rPr>
          <w:bCs/>
          <w:b/>
        </w:rPr>
        <w:t xml:space="preserve">Protocol ID:</w:t>
      </w:r>
      <w:r>
        <w:t xml:space="preserve"> </w:t>
      </w:r>
      <w:r>
        <w:t xml:space="preserve">SPB-LEG-2024-001</w:t>
      </w:r>
    </w:p>
    <w:p>
      <w:pPr>
        <w:pStyle w:val="BodyText"/>
      </w:pPr>
      <w:r>
        <w:rPr>
          <w:bCs/>
          <w:b/>
        </w:rPr>
        <w:t xml:space="preserve">Date of Initiation:</w:t>
      </w:r>
      <w:r>
        <w:t xml:space="preserve"> </w:t>
      </w:r>
      <w:r>
        <w:t xml:space="preserve">October 15, 2024</w:t>
      </w:r>
    </w:p>
    <w:p>
      <w:pPr>
        <w:pStyle w:val="BodyText"/>
      </w:pPr>
      <w:r>
        <w:rPr>
          <w:bCs/>
          <w:b/>
        </w:rPr>
        <w:t xml:space="preserve">Principal Investigator:</w:t>
      </w:r>
      <w:r>
        <w:t xml:space="preserve"> </w:t>
      </w:r>
      <w:r>
        <w:t xml:space="preserve">Department of Legal Studies, Saint Petersburg State University</w:t>
      </w:r>
    </w:p>
    <w:p>
      <w:pPr>
        <w:pStyle w:val="BodyText"/>
      </w:pPr>
      <w:r>
        <w:rPr>
          <w:bCs/>
          <w:b/>
        </w:rPr>
        <w:t xml:space="preserve">Ethical Approval:</w:t>
      </w:r>
      <w:r>
        <w:t xml:space="preserve"> </w:t>
      </w:r>
      <w:r>
        <w:t xml:space="preserve">Granted by the Local Ethics Committee (Ref: EC-SPB-882)</w:t>
      </w:r>
    </w:p>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professional activities of the Lawyer within the jurisdiction of Russia, specifically in the city of Saint Petersburg. Saint Petersburg serves as a critical legal hub in the Russian Federation, hosting a significant concentration of commercial courts, arbitration centers, and legal firms. The legal landscape in this region is characterized by a complex interplay between federal statutes and local judicial practices.</w:t>
      </w:r>
    </w:p>
    <w:p>
      <w:pPr>
        <w:pStyle w:val="BodyText"/>
      </w:pPr>
      <w:r>
        <w:t xml:space="preserve">The primary objective of this experiment is to evaluate the impact of specialized legal representation on case outcomes in civil disputes. By focusing on the Lawyer as the central variable, this study aims to quantify the difference in procedural efficiency, settlement rates, and judicial satisfaction between represented and unrepresented parties. Understanding these dynamics is essential for improving access to justice and refining legal education standards in Saint Petersburg.</w:t>
      </w:r>
    </w:p>
    <w:bookmarkEnd w:id="21"/>
    <w:bookmarkStart w:id="22" w:name="objectives"/>
    <w:p>
      <w:pPr>
        <w:pStyle w:val="Heading2"/>
      </w:pPr>
      <w:r>
        <w:t xml:space="preserve">2. Objectives</w:t>
      </w:r>
    </w:p>
    <w:p>
      <w:pPr>
        <w:pStyle w:val="FirstParagraph"/>
      </w:pPr>
      <w:r>
        <w:t xml:space="preserve">The specific objectives of this protocol are as follows:</w:t>
      </w:r>
    </w:p>
    <w:p>
      <w:pPr>
        <w:numPr>
          <w:ilvl w:val="0"/>
          <w:numId w:val="1001"/>
        </w:numPr>
        <w:pStyle w:val="Compact"/>
      </w:pPr>
      <w:r>
        <w:t xml:space="preserve">To assess the correlation between the experience level of the Lawyer and the duration of civil proceedings in Saint Petersburg courts.</w:t>
      </w:r>
    </w:p>
    <w:p>
      <w:pPr>
        <w:numPr>
          <w:ilvl w:val="0"/>
          <w:numId w:val="1001"/>
        </w:numPr>
        <w:pStyle w:val="Compact"/>
      </w:pPr>
      <w:r>
        <w:t xml:space="preserve">To analyze the effectiveness of pre-trial negotiations conducted by legal professionals in reducing the caseload of local tribunals.</w:t>
      </w:r>
    </w:p>
    <w:p>
      <w:pPr>
        <w:numPr>
          <w:ilvl w:val="0"/>
          <w:numId w:val="1001"/>
        </w:numPr>
        <w:pStyle w:val="Compact"/>
      </w:pPr>
      <w:r>
        <w:t xml:space="preserve">To identify common procedural errors made by unrepresented litigants compared to those represented by a qualified Lawyer.</w:t>
      </w:r>
    </w:p>
    <w:p>
      <w:pPr>
        <w:numPr>
          <w:ilvl w:val="0"/>
          <w:numId w:val="1001"/>
        </w:numPr>
        <w:pStyle w:val="Compact"/>
      </w:pPr>
      <w:r>
        <w:t xml:space="preserve">To evaluate the adherence of legal practitioners in Saint Petersburg to the Code of Professional Ethics of Advocates of the Russian Federation.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analysis with qualitative interviews. The experiment will be conducted over a period of twelve months, covering cases filed in the Arbitrazh (Commercial) Courts and Courts of General Jurisdiction in Saint Petersburg.</w:t>
      </w:r>
    </w:p>
    <w:bookmarkEnd w:id="23"/>
    <w:bookmarkStart w:id="24" w:name="participants"/>
    <w:p>
      <w:pPr>
        <w:pStyle w:val="Heading3"/>
      </w:pPr>
      <w:r>
        <w:t xml:space="preserve">3.2 Participants</w:t>
      </w:r>
    </w:p>
    <w:p>
      <w:pPr>
        <w:pStyle w:val="FirstParagraph"/>
      </w:pPr>
      <w:r>
        <w:t xml:space="preserve">The study population will consist of three distinct groups:</w:t>
      </w:r>
    </w:p>
    <w:p>
      <w:pPr>
        <w:numPr>
          <w:ilvl w:val="0"/>
          <w:numId w:val="1002"/>
        </w:numPr>
        <w:pStyle w:val="Compact"/>
      </w:pPr>
      <w:r>
        <w:rPr>
          <w:bCs/>
          <w:b/>
        </w:rPr>
        <w:t xml:space="preserve">Group A:</w:t>
      </w:r>
      <w:r>
        <w:t xml:space="preserve"> </w:t>
      </w:r>
      <w:r>
        <w:t xml:space="preserve">Litigants represented by a Lawyer with over ten years of experience in Saint Petersburg.</w:t>
      </w:r>
    </w:p>
    <w:p>
      <w:pPr>
        <w:numPr>
          <w:ilvl w:val="0"/>
          <w:numId w:val="1002"/>
        </w:numPr>
        <w:pStyle w:val="Compact"/>
      </w:pPr>
      <w:r>
        <w:rPr>
          <w:bCs/>
          <w:b/>
        </w:rPr>
        <w:t xml:space="preserve">Group B:</w:t>
      </w:r>
      <w:r>
        <w:t xml:space="preserve"> </w:t>
      </w:r>
      <w:r>
        <w:t xml:space="preserve">Litigants represented by a Lawyer with less than three years of experience.</w:t>
      </w:r>
    </w:p>
    <w:p>
      <w:pPr>
        <w:numPr>
          <w:ilvl w:val="0"/>
          <w:numId w:val="1002"/>
        </w:numPr>
        <w:pStyle w:val="Compact"/>
      </w:pPr>
      <w:r>
        <w:rPr>
          <w:bCs/>
          <w:b/>
        </w:rPr>
        <w:t xml:space="preserve">Group C:</w:t>
      </w:r>
      <w:r>
        <w:t xml:space="preserve"> </w:t>
      </w:r>
      <w:r>
        <w:t xml:space="preserve">Litigants proceeding without legal representation (pro se).</w:t>
      </w:r>
    </w:p>
    <w:p>
      <w:pPr>
        <w:pStyle w:val="FirstParagraph"/>
      </w:pPr>
      <w:r>
        <w:t xml:space="preserve">A total of 300 cases will be selected randomly from the public registry of the Saint Petersburg courts, ensuring an equal distribution among the three groups. All participants will be informed of the study and will provide written consent, ensuring compliance with Russian data protection laws.</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3"/>
        </w:numPr>
        <w:pStyle w:val="Compact"/>
      </w:pPr>
      <w:r>
        <w:rPr>
          <w:bCs/>
          <w:b/>
        </w:rPr>
        <w:t xml:space="preserve">Case File Review:</w:t>
      </w:r>
      <w:r>
        <w:t xml:space="preserve"> </w:t>
      </w:r>
      <w:r>
        <w:t xml:space="preserve">Researchers will analyze court documents, including motions, evidence submissions, and final judgments, to track procedural milestones.</w:t>
      </w:r>
    </w:p>
    <w:p>
      <w:pPr>
        <w:numPr>
          <w:ilvl w:val="0"/>
          <w:numId w:val="1003"/>
        </w:numPr>
        <w:pStyle w:val="Compact"/>
      </w:pPr>
      <w:r>
        <w:rPr>
          <w:bCs/>
          <w:b/>
        </w:rPr>
        <w:t xml:space="preserve">Surveys:</w:t>
      </w:r>
      <w:r>
        <w:t xml:space="preserve"> </w:t>
      </w:r>
      <w:r>
        <w:t xml:space="preserve">Post-case surveys will be administered to all participants to gauge their satisfaction with the legal process and the performance of their Lawyer.</w:t>
      </w:r>
    </w:p>
    <w:p>
      <w:pPr>
        <w:numPr>
          <w:ilvl w:val="0"/>
          <w:numId w:val="1003"/>
        </w:numPr>
        <w:pStyle w:val="Compact"/>
      </w:pPr>
      <w:r>
        <w:rPr>
          <w:bCs/>
          <w:b/>
        </w:rPr>
        <w:t xml:space="preserve">Interviews:</w:t>
      </w:r>
      <w:r>
        <w:t xml:space="preserve"> </w:t>
      </w:r>
      <w:r>
        <w:t xml:space="preserve">Semi-structured interviews will be conducted with a subset of Lawyers and judges in Saint Petersburg to gain insights into local judicial culture and professional challenges.</w:t>
      </w:r>
    </w:p>
    <w:bookmarkEnd w:id="25"/>
    <w:bookmarkEnd w:id="26"/>
    <w:bookmarkStart w:id="27" w:name="variables-and-metrics"/>
    <w:p>
      <w:pPr>
        <w:pStyle w:val="Heading2"/>
      </w:pPr>
      <w:r>
        <w:t xml:space="preserve">4. Variables and Metrics</w:t>
      </w:r>
    </w:p>
    <w:p>
      <w:pPr>
        <w:pStyle w:val="FirstParagraph"/>
      </w:pPr>
      <w:r>
        <w:t xml:space="preserve">The experiment will measure several key variables to determine the efficacy of legal representation: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Case Duration</w:t>
            </w:r>
          </w:p>
        </w:tc>
        <w:tc>
          <w:tcPr/>
          <w:p>
            <w:pPr>
              <w:pStyle w:val="Compact"/>
              <w:jc w:val="left"/>
            </w:pPr>
            <w:r>
              <w:t xml:space="preserve">Time from filing to final judgment</w:t>
            </w:r>
          </w:p>
        </w:tc>
        <w:tc>
          <w:tcPr/>
          <w:p>
            <w:pPr>
              <w:pStyle w:val="Compact"/>
              <w:jc w:val="left"/>
            </w:pPr>
            <w:r>
              <w:t xml:space="preserve">Days</w:t>
            </w:r>
          </w:p>
        </w:tc>
      </w:tr>
      <w:tr>
        <w:tc>
          <w:tcPr/>
          <w:p>
            <w:pPr>
              <w:pStyle w:val="Compact"/>
              <w:jc w:val="left"/>
            </w:pPr>
            <w:r>
              <w:t xml:space="preserve">Success Rate</w:t>
            </w:r>
          </w:p>
        </w:tc>
        <w:tc>
          <w:tcPr/>
          <w:p>
            <w:pPr>
              <w:pStyle w:val="Compact"/>
              <w:jc w:val="left"/>
            </w:pPr>
            <w:r>
              <w:t xml:space="preserve">Percentage of cases resulting in a favorable outcome or settlement</w:t>
            </w:r>
          </w:p>
        </w:tc>
        <w:tc>
          <w:tcPr/>
          <w:p>
            <w:pPr>
              <w:pStyle w:val="Compact"/>
              <w:jc w:val="left"/>
            </w:pPr>
            <w:r>
              <w:t xml:space="preserve">Percentage (%)</w:t>
            </w:r>
          </w:p>
        </w:tc>
      </w:tr>
      <w:tr>
        <w:tc>
          <w:tcPr/>
          <w:p>
            <w:pPr>
              <w:pStyle w:val="Compact"/>
              <w:jc w:val="left"/>
            </w:pPr>
            <w:r>
              <w:t xml:space="preserve">Procedural Errors</w:t>
            </w:r>
          </w:p>
        </w:tc>
        <w:tc>
          <w:tcPr/>
          <w:p>
            <w:pPr>
              <w:pStyle w:val="Compact"/>
              <w:jc w:val="left"/>
            </w:pPr>
            <w:r>
              <w:t xml:space="preserve">Number of missed deadlines or rejected motions due to formal errors</w:t>
            </w:r>
          </w:p>
        </w:tc>
        <w:tc>
          <w:tcPr/>
          <w:p>
            <w:pPr>
              <w:pStyle w:val="Compact"/>
              <w:jc w:val="left"/>
            </w:pPr>
            <w:r>
              <w:t xml:space="preserve">Count</w:t>
            </w:r>
          </w:p>
        </w:tc>
      </w:tr>
      <w:tr>
        <w:tc>
          <w:tcPr/>
          <w:p>
            <w:pPr>
              <w:pStyle w:val="Compact"/>
              <w:jc w:val="left"/>
            </w:pPr>
            <w:r>
              <w:t xml:space="preserve">Client Satisfaction</w:t>
            </w:r>
          </w:p>
        </w:tc>
        <w:tc>
          <w:tcPr/>
          <w:p>
            <w:pPr>
              <w:pStyle w:val="Compact"/>
              <w:jc w:val="left"/>
            </w:pPr>
            <w:r>
              <w:t xml:space="preserve">Rating of the Lawyer's performance on a scale of 1 to 10</w:t>
            </w:r>
          </w:p>
        </w:tc>
        <w:tc>
          <w:tcPr/>
          <w:p>
            <w:pPr>
              <w:pStyle w:val="Compact"/>
              <w:jc w:val="left"/>
            </w:pPr>
            <w:r>
              <w:t xml:space="preserve">Score (1-10)</w:t>
            </w:r>
          </w:p>
        </w:tc>
      </w:tr>
    </w:tbl>
    <w:bookmarkEnd w:id="27"/>
    <w:bookmarkStart w:id="28" w:name="ethical-considerations"/>
    <w:p>
      <w:pPr>
        <w:pStyle w:val="Heading2"/>
      </w:pPr>
      <w:r>
        <w:t xml:space="preserve">5. Ethical Considerations</w:t>
      </w:r>
    </w:p>
    <w:p>
      <w:pPr>
        <w:pStyle w:val="FirstParagraph"/>
      </w:pPr>
      <w:r>
        <w:t xml:space="preserve">This Experiment Protocol strictly adheres to ethical guidelines established by the Russian Ministry of Science and Higher Education. Confidentiality of all case details and participant identities will be maintained through anonymization techniques. No data will be shared with third parties without explicit consent. Furthermore, the study will not interfere with ongoing legal proceedings or the professional duties of the Lawyer involved.</w:t>
      </w:r>
    </w:p>
    <w:p>
      <w:pPr>
        <w:pStyle w:val="BodyText"/>
      </w:pPr>
      <w:r>
        <w:t xml:space="preserve">Special attention will be given to the potential power imbalance between researchers and participants. All interviews will be conducted in a neutral setting within Saint Petersburg, and participants will be informed of their right to withdraw from the study at any time without penalty.</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significant differences between the three groups. Hypothesis testing will be employed to determine whether the presence and experience level of a Lawyer have a statistically significant impact on case outcomes. Qualitative data from interviews will be coded thematically to identify recurring patterns and insights related to legal practice in Saint Petersburg.</w:t>
      </w:r>
    </w:p>
    <w:bookmarkEnd w:id="29"/>
    <w:bookmarkStart w:id="30" w:name="expected-outcomes-and-impact"/>
    <w:p>
      <w:pPr>
        <w:pStyle w:val="Heading2"/>
      </w:pPr>
      <w:r>
        <w:t xml:space="preserve">7. Expected Outcomes and Impact</w:t>
      </w:r>
    </w:p>
    <w:p>
      <w:pPr>
        <w:pStyle w:val="FirstParagraph"/>
      </w:pPr>
      <w:r>
        <w:t xml:space="preserve">This study is expected to provide valuable insights into the role of the Lawyer in the Russian legal system. By highlighting the benefits of professional legal representation, the findings may inform policy recommendations aimed at improving access to legal services in Saint Petersburg. Additionally, the results could contribute to the development of training programs for young Lawyers, emphasizing the skills most valued by clients and the judiciary.</w:t>
      </w:r>
    </w:p>
    <w:p>
      <w:pPr>
        <w:pStyle w:val="BodyText"/>
      </w:pPr>
      <w:r>
        <w:t xml:space="preserve">Ultimately, this Experiment Protocol seeks to enhance the understanding of legal practice in one of Russia's most important cities, fostering a more efficient and equitable justice system for all residents of Saint Petersburg.</w:t>
      </w:r>
    </w:p>
    <w:p>
      <w:pPr>
        <w:pStyle w:val="BodyText"/>
      </w:pPr>
      <w:r>
        <w:t xml:space="preserve">© 2024 Department of Legal Studies, Saint Petersburg State University. All rights reserved.</w:t>
      </w:r>
    </w:p>
    <w:p>
      <w:pPr>
        <w:pStyle w:val="BodyText"/>
      </w:pPr>
      <w:r>
        <w:t xml:space="preserve">This document is intended for academic and research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Saint Petersburg, Russia</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