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Evaluation</w:t>
      </w:r>
      <w:r>
        <w:t xml:space="preserve"> </w:t>
      </w:r>
      <w:r>
        <w:t xml:space="preserve">in</w:t>
      </w:r>
      <w:r>
        <w:t xml:space="preserve"> </w:t>
      </w:r>
      <w:r>
        <w:t xml:space="preserve">Riyadh</w:t>
      </w:r>
    </w:p>
    <w:bookmarkStart w:id="33" w:name="X0484a42561da9ffbfb65fac91c5b44afe6c640c"/>
    <w:p>
      <w:pPr>
        <w:pStyle w:val="Heading1"/>
      </w:pPr>
      <w:r>
        <w:t xml:space="preserve">Experiment Protocol: Evaluation of Legal Service Delivery Models</w:t>
      </w:r>
    </w:p>
    <w:p>
      <w:pPr>
        <w:pStyle w:val="FirstParagraph"/>
      </w:pPr>
      <w:r>
        <w:rPr>
          <w:bCs/>
          <w:b/>
        </w:rPr>
        <w:t xml:space="preserve">Project Title:</w:t>
      </w:r>
      <w:r>
        <w:t xml:space="preserve"> </w:t>
      </w:r>
      <w:r>
        <w:t xml:space="preserve">Comparative Analysis of Lawyer Efficacy in Commercial Dispute Resolution</w:t>
      </w:r>
    </w:p>
    <w:p>
      <w:pPr>
        <w:pStyle w:val="BodyText"/>
      </w:pPr>
      <w:r>
        <w:rPr>
          <w:bCs/>
          <w:b/>
        </w:rPr>
        <w:t xml:space="preserve">Location:</w:t>
      </w:r>
      <w:r>
        <w:t xml:space="preserve"> </w:t>
      </w:r>
      <w:r>
        <w:t xml:space="preserve">Saudi Arabia, Riyadh</w:t>
      </w:r>
    </w:p>
    <w:p>
      <w:pPr>
        <w:pStyle w:val="BodyText"/>
      </w:pPr>
      <w:r>
        <w:rPr>
          <w:bCs/>
          <w:b/>
        </w:rPr>
        <w:t xml:space="preserve">Target Subject:</w:t>
      </w:r>
      <w:r>
        <w:t xml:space="preserve"> </w:t>
      </w:r>
      <w:r>
        <w:t xml:space="preserve">Licensed Lawyer (Advocate)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compliance of a Lawyer operating within the jurisdiction of Saudi Arabia, specifically in the capital city of Riyadh. As Riyadh undergoes rapid transformation under Vision 2030, the legal landscape is evolving to accommodate international business standards while maintaining adherence to Sharia law and the new regulatory frameworks established by the Ministry of Justice.</w:t>
      </w:r>
    </w:p>
    <w:p>
      <w:pPr>
        <w:pStyle w:val="BodyText"/>
      </w:pPr>
      <w:r>
        <w:t xml:space="preserve">The primary objective of this experiment is to evaluate how a Lawyer navigates the intersection of traditional Islamic jurisprudence and modern commercial regulations in Riyadh. This protocol is designed to test the Lawyer's ability to provide accurate legal counsel, manage client expectations, and utilize digital legal platforms mandated by the Saudi government.</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measure the Lawyer's proficiency in interpreting the Saudi Civil Transactions Law.</w:t>
      </w:r>
    </w:p>
    <w:p>
      <w:pPr>
        <w:numPr>
          <w:ilvl w:val="0"/>
          <w:numId w:val="1001"/>
        </w:numPr>
        <w:pStyle w:val="Compact"/>
      </w:pPr>
      <w:r>
        <w:t xml:space="preserve">To assess the Lawyer's efficiency in utilizing the "Najm" and "Absher" legal portals for case filing in Riyadh courts.</w:t>
      </w:r>
    </w:p>
    <w:p>
      <w:pPr>
        <w:numPr>
          <w:ilvl w:val="0"/>
          <w:numId w:val="1001"/>
        </w:numPr>
        <w:pStyle w:val="Compact"/>
      </w:pPr>
      <w:r>
        <w:t xml:space="preserve">To evaluate the Lawyer's communication skills with clients from diverse cultural backgrounds residing in Riyadh.</w:t>
      </w:r>
    </w:p>
    <w:p>
      <w:pPr>
        <w:numPr>
          <w:ilvl w:val="0"/>
          <w:numId w:val="1001"/>
        </w:numPr>
        <w:pStyle w:val="Compact"/>
      </w:pPr>
      <w:r>
        <w:t xml:space="preserve">To determine the Lawyer's adherence to the Code of Professional Conduct for Advocates in Saudi Arabia.</w:t>
      </w:r>
    </w:p>
    <w:bookmarkEnd w:id="21"/>
    <w:bookmarkStart w:id="24" w:name="scope-and-definitions"/>
    <w:p>
      <w:pPr>
        <w:pStyle w:val="Heading2"/>
      </w:pPr>
      <w:r>
        <w:t xml:space="preserve">3. Scope and Definitions</w:t>
      </w:r>
    </w:p>
    <w:bookmarkStart w:id="22" w:name="scope"/>
    <w:p>
      <w:pPr>
        <w:pStyle w:val="Heading3"/>
      </w:pPr>
      <w:r>
        <w:t xml:space="preserve">3.1 Scope</w:t>
      </w:r>
    </w:p>
    <w:p>
      <w:pPr>
        <w:pStyle w:val="FirstParagraph"/>
      </w:pPr>
      <w:r>
        <w:t xml:space="preserve">This experiment is strictly limited to commercial and civil law matters within the Riyadh judicial region. It does not cover criminal law, family law, or labor disputes unless they are directly related to commercial entities. The experiment will be conducted over a period of six months.</w:t>
      </w:r>
    </w:p>
    <w:bookmarkEnd w:id="22"/>
    <w:bookmarkStart w:id="23" w:name="definitions"/>
    <w:p>
      <w:pPr>
        <w:pStyle w:val="Heading3"/>
      </w:pPr>
      <w:r>
        <w:t xml:space="preserve">3.2 Definitions</w:t>
      </w:r>
    </w:p>
    <w:p>
      <w:pPr>
        <w:numPr>
          <w:ilvl w:val="0"/>
          <w:numId w:val="1002"/>
        </w:numPr>
        <w:pStyle w:val="Compact"/>
      </w:pPr>
      <w:r>
        <w:rPr>
          <w:bCs/>
          <w:b/>
        </w:rPr>
        <w:t xml:space="preserve">Lawyer:</w:t>
      </w:r>
      <w:r>
        <w:t xml:space="preserve"> </w:t>
      </w:r>
      <w:r>
        <w:t xml:space="preserve">A legal professional licensed by the Saudi Ministry of Justice to practice law in the Kingdom.</w:t>
      </w:r>
    </w:p>
    <w:p>
      <w:pPr>
        <w:numPr>
          <w:ilvl w:val="0"/>
          <w:numId w:val="1002"/>
        </w:numPr>
        <w:pStyle w:val="Compact"/>
      </w:pPr>
      <w:r>
        <w:rPr>
          <w:bCs/>
          <w:b/>
        </w:rPr>
        <w:t xml:space="preserve">Riyadh:</w:t>
      </w:r>
      <w:r>
        <w:t xml:space="preserve"> </w:t>
      </w:r>
      <w:r>
        <w:t xml:space="preserve">The capital city of Saudi Arabia, serving as the primary hub for this legal experiment.</w:t>
      </w:r>
    </w:p>
    <w:p>
      <w:pPr>
        <w:numPr>
          <w:ilvl w:val="0"/>
          <w:numId w:val="1002"/>
        </w:numPr>
        <w:pStyle w:val="Compact"/>
      </w:pPr>
      <w:r>
        <w:rPr>
          <w:bCs/>
          <w:b/>
        </w:rPr>
        <w:t xml:space="preserve">Experiment Protocol:</w:t>
      </w:r>
      <w:r>
        <w:t xml:space="preserve"> </w:t>
      </w:r>
      <w:r>
        <w:t xml:space="preserve">The structured plan defining the procedures, variables, and metrics for this evaluation.</w:t>
      </w:r>
    </w:p>
    <w:bookmarkEnd w:id="23"/>
    <w:bookmarkEnd w:id="24"/>
    <w:bookmarkStart w:id="28" w:name="methodology"/>
    <w:p>
      <w:pPr>
        <w:pStyle w:val="Heading2"/>
      </w:pPr>
      <w:r>
        <w:t xml:space="preserve">4. Methodology</w:t>
      </w:r>
    </w:p>
    <w:p>
      <w:pPr>
        <w:pStyle w:val="FirstParagraph"/>
      </w:pPr>
      <w:r>
        <w:t xml:space="preserve">The Experiment Protocol employs a mixed-methods approach, combining quantitative metrics with qualitative assessments. The Lawyer will be assigned a series of simulated and real-world case studies relevant to the Riyadh market.</w:t>
      </w:r>
    </w:p>
    <w:bookmarkStart w:id="25" w:name="phase-1-regulatory-compliance-audit"/>
    <w:p>
      <w:pPr>
        <w:pStyle w:val="Heading3"/>
      </w:pPr>
      <w:r>
        <w:t xml:space="preserve">4.1 Phase 1: Regulatory Compliance Audit</w:t>
      </w:r>
    </w:p>
    <w:p>
      <w:pPr>
        <w:pStyle w:val="FirstParagraph"/>
      </w:pPr>
      <w:r>
        <w:t xml:space="preserve">In the initial phase, the Lawyer must demonstrate full compliance with Saudi Arabian regulations. This includes verifying their license status through the Ministry of Justice portal and confirming their registration with the Riyadh Bar Association. The Lawyer will be required to submit a conflict of interest check for all potential clients involved in the experiment.</w:t>
      </w:r>
    </w:p>
    <w:bookmarkEnd w:id="25"/>
    <w:bookmarkStart w:id="26" w:name="phase-2-case-simulation"/>
    <w:p>
      <w:pPr>
        <w:pStyle w:val="Heading3"/>
      </w:pPr>
      <w:r>
        <w:t xml:space="preserve">4.2 Phase 2: Case Simulation</w:t>
      </w:r>
    </w:p>
    <w:p>
      <w:pPr>
        <w:pStyle w:val="FirstParagraph"/>
      </w:pPr>
      <w:r>
        <w:t xml:space="preserve">The Lawyer will be presented with three distinct scenarios typical of the Riyadh business environment:</w:t>
      </w:r>
    </w:p>
    <w:p>
      <w:pPr>
        <w:numPr>
          <w:ilvl w:val="0"/>
          <w:numId w:val="1003"/>
        </w:numPr>
        <w:pStyle w:val="Compact"/>
      </w:pPr>
      <w:r>
        <w:rPr>
          <w:bCs/>
          <w:b/>
        </w:rPr>
        <w:t xml:space="preserve">Contractual Dispute:</w:t>
      </w:r>
      <w:r>
        <w:t xml:space="preserve"> </w:t>
      </w:r>
      <w:r>
        <w:t xml:space="preserve">A breach of contract involving a construction firm in Riyadh and an international supplier. The Lawyer must draft a legal notice and propose a settlement strategy.</w:t>
      </w:r>
    </w:p>
    <w:p>
      <w:pPr>
        <w:numPr>
          <w:ilvl w:val="0"/>
          <w:numId w:val="1003"/>
        </w:numPr>
        <w:pStyle w:val="Compact"/>
      </w:pPr>
      <w:r>
        <w:rPr>
          <w:bCs/>
          <w:b/>
        </w:rPr>
        <w:t xml:space="preserve">Regulatory Advisory:</w:t>
      </w:r>
      <w:r>
        <w:t xml:space="preserve"> </w:t>
      </w:r>
      <w:r>
        <w:t xml:space="preserve">Advising a fintech startup in Riyadh on compliance with the Saudi Central Bank (SAMA) regulations.</w:t>
      </w:r>
    </w:p>
    <w:p>
      <w:pPr>
        <w:numPr>
          <w:ilvl w:val="0"/>
          <w:numId w:val="1003"/>
        </w:numPr>
        <w:pStyle w:val="Compact"/>
      </w:pPr>
      <w:r>
        <w:rPr>
          <w:bCs/>
          <w:b/>
        </w:rPr>
        <w:t xml:space="preserve">Court Representation:</w:t>
      </w:r>
      <w:r>
        <w:t xml:space="preserve"> </w:t>
      </w:r>
      <w:r>
        <w:t xml:space="preserve">Simulating a hearing before the Riyadh Commercial Court, focusing on evidence presentation and oral argumentation.</w:t>
      </w:r>
    </w:p>
    <w:bookmarkEnd w:id="26"/>
    <w:bookmarkStart w:id="27" w:name="phase-3-digital-integration-assessment"/>
    <w:p>
      <w:pPr>
        <w:pStyle w:val="Heading3"/>
      </w:pPr>
      <w:r>
        <w:t xml:space="preserve">4.3 Phase 3: Digital Integration Assessment</w:t>
      </w:r>
    </w:p>
    <w:p>
      <w:pPr>
        <w:pStyle w:val="FirstParagraph"/>
      </w:pPr>
      <w:r>
        <w:t xml:space="preserve">Given the digital transformation in Saudi Arabia, the Lawyer's ability to use e-justice systems is critical. The Lawyer will be timed on their ability to file a mock case, pay court fees, and schedule a hearing using the official Saudi judicial platforms. Efficiency and accuracy in this digital workflow are key performance indicators.</w:t>
      </w:r>
    </w:p>
    <w:bookmarkEnd w:id="27"/>
    <w:bookmarkEnd w:id="28"/>
    <w:bookmarkStart w:id="29" w:name="data-collection-and-metrics"/>
    <w:p>
      <w:pPr>
        <w:pStyle w:val="Heading2"/>
      </w:pPr>
      <w:r>
        <w:t xml:space="preserve">5. Data Collection and Metrics</w:t>
      </w:r>
    </w:p>
    <w:p>
      <w:pPr>
        <w:pStyle w:val="FirstParagraph"/>
      </w:pPr>
      <w:r>
        <w:t xml:space="preserve">Data will be collected through the following metrics:</w:t>
      </w:r>
    </w:p>
    <w:p>
      <w:pPr>
        <w:numPr>
          <w:ilvl w:val="0"/>
          <w:numId w:val="1004"/>
        </w:numPr>
        <w:pStyle w:val="Compact"/>
      </w:pPr>
      <w:r>
        <w:rPr>
          <w:bCs/>
          <w:b/>
        </w:rPr>
        <w:t xml:space="preserve">Accuracy Rate:</w:t>
      </w:r>
      <w:r>
        <w:t xml:space="preserve"> </w:t>
      </w:r>
      <w:r>
        <w:t xml:space="preserve">Percentage of legal citations and interpretations that align with current Saudi law.</w:t>
      </w:r>
    </w:p>
    <w:p>
      <w:pPr>
        <w:numPr>
          <w:ilvl w:val="0"/>
          <w:numId w:val="1004"/>
        </w:numPr>
        <w:pStyle w:val="Compact"/>
      </w:pPr>
      <w:r>
        <w:rPr>
          <w:bCs/>
          <w:b/>
        </w:rPr>
        <w:t xml:space="preserve">Response Time:</w:t>
      </w:r>
      <w:r>
        <w:t xml:space="preserve"> </w:t>
      </w:r>
      <w:r>
        <w:t xml:space="preserve">Average time taken to respond to client inquiries and court deadlines.</w:t>
      </w:r>
    </w:p>
    <w:p>
      <w:pPr>
        <w:numPr>
          <w:ilvl w:val="0"/>
          <w:numId w:val="1004"/>
        </w:numPr>
        <w:pStyle w:val="Compact"/>
      </w:pPr>
      <w:r>
        <w:rPr>
          <w:bCs/>
          <w:b/>
        </w:rPr>
        <w:t xml:space="preserve">Client Satisfaction:</w:t>
      </w:r>
      <w:r>
        <w:t xml:space="preserve"> </w:t>
      </w:r>
      <w:r>
        <w:t xml:space="preserve">Scores from post-engagement surveys focusing on clarity, professionalism, and cultural sensitivity.</w:t>
      </w:r>
    </w:p>
    <w:p>
      <w:pPr>
        <w:numPr>
          <w:ilvl w:val="0"/>
          <w:numId w:val="1004"/>
        </w:numPr>
        <w:pStyle w:val="Compact"/>
      </w:pPr>
      <w:r>
        <w:rPr>
          <w:bCs/>
          <w:b/>
        </w:rPr>
        <w:t xml:space="preserve">Cost Efficiency:</w:t>
      </w:r>
      <w:r>
        <w:t xml:space="preserve"> </w:t>
      </w:r>
      <w:r>
        <w:t xml:space="preserve">Analysis of legal fees charged versus the value of services provided, ensuring transparency as required by Saudi regulations.</w:t>
      </w:r>
    </w:p>
    <w:bookmarkEnd w:id="29"/>
    <w:bookmarkStart w:id="30" w:name="ethical-considerations"/>
    <w:p>
      <w:pPr>
        <w:pStyle w:val="Heading2"/>
      </w:pPr>
      <w:r>
        <w:t xml:space="preserve">6. Ethical Considerations</w:t>
      </w:r>
    </w:p>
    <w:p>
      <w:pPr>
        <w:pStyle w:val="FirstParagraph"/>
      </w:pPr>
      <w:r>
        <w:t xml:space="preserve">This Experiment Protocol strictly adheres to the ethical standards set by the Saudi Ministry of Justice. Confidentiality of all client data is paramount. The Lawyer must ensure that all information is stored securely and in compliance with the Saudi Personal Data Protection Law (PDPL). No real client data will be used without explicit, written consent. The experiment will not interfere with any ongoing actual legal proceedings in Riyadh courts.</w:t>
      </w:r>
    </w:p>
    <w:bookmarkEnd w:id="30"/>
    <w:bookmarkStart w:id="31" w:name="risk-management"/>
    <w:p>
      <w:pPr>
        <w:pStyle w:val="Heading2"/>
      </w:pPr>
      <w:r>
        <w:t xml:space="preserve">7. Risk Management</w:t>
      </w:r>
    </w:p>
    <w:p>
      <w:pPr>
        <w:pStyle w:val="FirstParagraph"/>
      </w:pPr>
      <w:r>
        <w:t xml:space="preserve">Potential risks include misinterpretation of legal texts or delays in court scheduling. To mitigate these, the Lawyer will be supervised by a senior legal advisor. Any deviation from the Experiment Protocol must be reported immediately. If the Lawyer encounters a situation that compromises their professional integrity or violates Saudi law, the experiment will be paused for review.</w:t>
      </w:r>
    </w:p>
    <w:bookmarkEnd w:id="31"/>
    <w:bookmarkStart w:id="32" w:name="conclusion-and-reporting"/>
    <w:p>
      <w:pPr>
        <w:pStyle w:val="Heading2"/>
      </w:pPr>
      <w:r>
        <w:t xml:space="preserve">8. Conclusion and Reporting</w:t>
      </w:r>
    </w:p>
    <w:p>
      <w:pPr>
        <w:pStyle w:val="FirstParagraph"/>
      </w:pPr>
      <w:r>
        <w:t xml:space="preserve">Upon completion of the six-month period, a comprehensive report will be generated. This report will detail the Lawyer's performance against the objectives outlined in this Experiment Protocol. Recommendations for improvement will be provided, focusing on areas such as digital literacy, regulatory knowledge, and client communication. The findings will contribute to a broader understanding of legal service delivery in Riyadh, supporting the ongoing development of the legal sector in Saudi Arabia.</w:t>
      </w:r>
    </w:p>
    <w:p>
      <w:pPr>
        <w:pStyle w:val="BodyText"/>
      </w:pPr>
      <w:r>
        <w:t xml:space="preserve">This document serves as the definitive guide for the evaluation process. All parties involved must familiarize themselves with its contents to ensure a smooth and effective execution of the experiment.</w:t>
      </w:r>
    </w:p>
    <w:p>
      <w:pPr>
        <w:pStyle w:val="BodyText"/>
      </w:pPr>
      <w:r>
        <w:rPr>
          <w:bCs/>
          <w:b/>
        </w:rPr>
        <w:t xml:space="preserve">Disclaimer:</w:t>
      </w:r>
      <w:r>
        <w:t xml:space="preserve"> </w:t>
      </w:r>
      <w:r>
        <w:t xml:space="preserve">This document is a template for an Experiment Protocol and does not constitute legal advice. It is intended for educational and procedural planning purposes within the context of legal research in Saudi Arabia.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Evaluation in Riyadh</dc:title>
  <dc:creator/>
  <dc:language>en</dc:language>
  <cp:keywords/>
  <dcterms:created xsi:type="dcterms:W3CDTF">2026-10-10T02:23:07Z</dcterms:created>
  <dcterms:modified xsi:type="dcterms:W3CDTF">2026-10-10T02:23:07Z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