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Simulation</w:t>
      </w:r>
      <w:r>
        <w:t xml:space="preserve"> </w:t>
      </w:r>
      <w:r>
        <w:t xml:space="preserve">in</w:t>
      </w:r>
      <w:r>
        <w:t xml:space="preserve"> </w:t>
      </w:r>
      <w:r>
        <w:t xml:space="preserve">Singapore</w:t>
      </w:r>
    </w:p>
    <w:bookmarkStart w:id="20" w:name="X4b8ff274d0f21ef1cb5a81989ce01787429b75e"/>
    <w:p>
      <w:pPr>
        <w:pStyle w:val="Heading1"/>
      </w:pPr>
      <w:r>
        <w:t xml:space="preserve">Experiment Protocol: Legal Practice Simulation in Singapore</w:t>
      </w:r>
    </w:p>
    <w:p>
      <w:pPr>
        <w:pStyle w:val="FirstParagraph"/>
      </w:pPr>
      <w:r>
        <w:t xml:space="preserve">Reference ID: SG-EXP-LAW-2024-001</w:t>
      </w:r>
    </w:p>
    <w:bookmarkEnd w:id="20"/>
    <w:bookmarkStart w:id="21" w:name="introduction-and-objective"/>
    <w:p>
      <w:pPr>
        <w:pStyle w:val="Heading2"/>
      </w:pPr>
      <w:r>
        <w:t xml:space="preserve">1. Introduction and Objective</w:t>
      </w:r>
    </w:p>
    <w:p>
      <w:pPr>
        <w:pStyle w:val="FirstParagraph"/>
      </w:pPr>
      <w:r>
        <w:t xml:space="preserve">This document outlines the comprehensive</w:t>
      </w:r>
      <w:r>
        <w:t xml:space="preserve"> </w:t>
      </w:r>
      <w:r>
        <w:rPr>
          <w:bCs/>
          <w:b/>
        </w:rPr>
        <w:t xml:space="preserve">Experiment Protocol</w:t>
      </w:r>
      <w:r>
        <w:t xml:space="preserve"> </w:t>
      </w:r>
      <w:r>
        <w:t xml:space="preserve">designed to evaluate the efficacy of a simulated legal advisory framework within the jurisdiction of</w:t>
      </w:r>
      <w:r>
        <w:t xml:space="preserve"> </w:t>
      </w:r>
      <w:r>
        <w:rPr>
          <w:bCs/>
          <w:b/>
        </w:rPr>
        <w:t xml:space="preserve">Singapore Singapore</w:t>
      </w:r>
      <w:r>
        <w:t xml:space="preserve">. The primary objective of this experiment is to assess the performance, accuracy, and ethical compliance of a specialized</w:t>
      </w:r>
      <w:r>
        <w:t xml:space="preserve"> </w:t>
      </w:r>
      <w:r>
        <w:rPr>
          <w:bCs/>
          <w:b/>
        </w:rPr>
        <w:t xml:space="preserve">Lawyer</w:t>
      </w:r>
      <w:r>
        <w:t xml:space="preserve"> </w:t>
      </w:r>
      <w:r>
        <w:t xml:space="preserve">persona—whether human or artificial intelligence-driven—when navigating the complex statutory and common law landscape of Singapore.</w:t>
      </w:r>
    </w:p>
    <w:p>
      <w:pPr>
        <w:pStyle w:val="BodyText"/>
      </w:pPr>
      <w:r>
        <w:t xml:space="preserve">Given the rigorous standards set by the Legal Profession Act and the Law Society of Singapore, this protocol aims to determine how effectively a</w:t>
      </w:r>
      <w:r>
        <w:t xml:space="preserve"> </w:t>
      </w:r>
      <w:r>
        <w:rPr>
          <w:bCs/>
          <w:b/>
        </w:rPr>
        <w:t xml:space="preserve">Lawyer</w:t>
      </w:r>
      <w:r>
        <w:t xml:space="preserve"> </w:t>
      </w:r>
      <w:r>
        <w:t xml:space="preserve">can provide counsel, draft legal instruments, and interpret case law specific to</w:t>
      </w:r>
      <w:r>
        <w:t xml:space="preserve"> </w:t>
      </w:r>
      <w:r>
        <w:rPr>
          <w:bCs/>
          <w:b/>
        </w:rPr>
        <w:t xml:space="preserve">Singapore Singapore</w:t>
      </w:r>
      <w:r>
        <w:t xml:space="preserve">. The experiment seeks to bridge the gap between theoretical legal knowledge and practical application in a controlled environment.</w:t>
      </w:r>
    </w:p>
    <w:bookmarkEnd w:id="21"/>
    <w:bookmarkStart w:id="22" w:name="scope-and-jurisdictional-context"/>
    <w:p>
      <w:pPr>
        <w:pStyle w:val="Heading2"/>
      </w:pPr>
      <w:r>
        <w:t xml:space="preserve">2. Scope and Jurisdictional Context</w:t>
      </w:r>
    </w:p>
    <w:p>
      <w:pPr>
        <w:pStyle w:val="FirstParagraph"/>
      </w:pPr>
      <w:r>
        <w:t xml:space="preserve">The scope of this</w:t>
      </w:r>
      <w:r>
        <w:t xml:space="preserve"> </w:t>
      </w:r>
      <w:r>
        <w:rPr>
          <w:bCs/>
          <w:b/>
        </w:rPr>
        <w:t xml:space="preserve">Experiment Protocol</w:t>
      </w:r>
      <w:r>
        <w:t xml:space="preserve"> </w:t>
      </w:r>
      <w:r>
        <w:t xml:space="preserve">is strictly limited to the legal framework of</w:t>
      </w:r>
      <w:r>
        <w:t xml:space="preserve"> </w:t>
      </w:r>
      <w:r>
        <w:rPr>
          <w:bCs/>
          <w:b/>
        </w:rPr>
        <w:t xml:space="preserve">Singapore Singapore</w:t>
      </w:r>
      <w:r>
        <w:t xml:space="preserve">. All scenarios presented to the</w:t>
      </w:r>
      <w:r>
        <w:t xml:space="preserve"> </w:t>
      </w:r>
      <w:r>
        <w:rPr>
          <w:bCs/>
          <w:b/>
        </w:rPr>
        <w:t xml:space="preserve">Lawyer</w:t>
      </w:r>
      <w:r>
        <w:t xml:space="preserve"> </w:t>
      </w:r>
      <w:r>
        <w:t xml:space="preserve">must reflect the unique characteristics of Singapore's legal system, which is based on English common law but heavily influenced by local statutes and judicial precedents.</w:t>
      </w:r>
    </w:p>
    <w:p>
      <w:pPr>
        <w:pStyle w:val="BodyText"/>
      </w:pPr>
      <w:r>
        <w:t xml:space="preserve">Key areas of focus include:</w:t>
      </w:r>
    </w:p>
    <w:p>
      <w:pPr>
        <w:numPr>
          <w:ilvl w:val="0"/>
          <w:numId w:val="1001"/>
        </w:numPr>
        <w:pStyle w:val="Compact"/>
      </w:pPr>
      <w:r>
        <w:rPr>
          <w:bCs/>
          <w:b/>
        </w:rPr>
        <w:t xml:space="preserve">Contract Law:</w:t>
      </w:r>
      <w:r>
        <w:t xml:space="preserve"> </w:t>
      </w:r>
      <w:r>
        <w:t xml:space="preserve">Adherence to the Civil Law Act and specific Singaporean case precedents.</w:t>
      </w:r>
    </w:p>
    <w:p>
      <w:pPr>
        <w:numPr>
          <w:ilvl w:val="0"/>
          <w:numId w:val="1001"/>
        </w:numPr>
        <w:pStyle w:val="Compact"/>
      </w:pPr>
      <w:r>
        <w:rPr>
          <w:bCs/>
          <w:b/>
        </w:rPr>
        <w:t xml:space="preserve">Corporate Law:</w:t>
      </w:r>
      <w:r>
        <w:t xml:space="preserve"> </w:t>
      </w:r>
      <w:r>
        <w:t xml:space="preserve">Compliance with the Companies Act of Singapore.</w:t>
      </w:r>
    </w:p>
    <w:p>
      <w:pPr>
        <w:numPr>
          <w:ilvl w:val="0"/>
          <w:numId w:val="1001"/>
        </w:numPr>
        <w:pStyle w:val="Compact"/>
      </w:pPr>
      <w:r>
        <w:rPr>
          <w:bCs/>
          <w:b/>
        </w:rPr>
        <w:t xml:space="preserve">Dispute Resolution:</w:t>
      </w:r>
      <w:r>
        <w:t xml:space="preserve"> </w:t>
      </w:r>
      <w:r>
        <w:t xml:space="preserve">Understanding the hierarchy of courts in</w:t>
      </w:r>
      <w:r>
        <w:t xml:space="preserve"> </w:t>
      </w:r>
      <w:r>
        <w:rPr>
          <w:bCs/>
          <w:b/>
        </w:rPr>
        <w:t xml:space="preserve">Singapore Singapore</w:t>
      </w:r>
      <w:r>
        <w:t xml:space="preserve">, from the State Courts to the Supreme Court.</w:t>
      </w:r>
    </w:p>
    <w:p>
      <w:pPr>
        <w:pStyle w:val="FirstParagraph"/>
      </w:pPr>
      <w:r>
        <w:t xml:space="preserve">The</w:t>
      </w:r>
      <w:r>
        <w:t xml:space="preserve"> </w:t>
      </w:r>
      <w:r>
        <w:rPr>
          <w:bCs/>
          <w:b/>
        </w:rPr>
        <w:t xml:space="preserve">Lawyer</w:t>
      </w:r>
      <w:r>
        <w:t xml:space="preserve"> </w:t>
      </w:r>
      <w:r>
        <w:t xml:space="preserve">participating in this experiment must demonstrate a nuanced understanding of how local regulations in</w:t>
      </w:r>
      <w:r>
        <w:t xml:space="preserve"> </w:t>
      </w:r>
      <w:r>
        <w:rPr>
          <w:bCs/>
          <w:b/>
        </w:rPr>
        <w:t xml:space="preserve">Singapore Singapore</w:t>
      </w:r>
      <w:r>
        <w:t xml:space="preserve"> </w:t>
      </w:r>
      <w:r>
        <w:t xml:space="preserve">differ from other common law jurisdictions.</w:t>
      </w:r>
    </w:p>
    <w:bookmarkEnd w:id="22"/>
    <w:bookmarkStart w:id="26" w:name="methodology"/>
    <w:p>
      <w:pPr>
        <w:pStyle w:val="Heading2"/>
      </w:pPr>
      <w:r>
        <w:t xml:space="preserve">3. Methodology</w:t>
      </w:r>
    </w:p>
    <w:p>
      <w:pPr>
        <w:pStyle w:val="FirstParagraph"/>
      </w:pPr>
      <w:r>
        <w:t xml:space="preserve">The</w:t>
      </w:r>
      <w:r>
        <w:t xml:space="preserve"> </w:t>
      </w:r>
      <w:r>
        <w:rPr>
          <w:bCs/>
          <w:b/>
        </w:rPr>
        <w:t xml:space="preserve">Experiment Protocol</w:t>
      </w:r>
      <w:r>
        <w:t xml:space="preserve"> </w:t>
      </w:r>
      <w:r>
        <w:t xml:space="preserve">will be executed in three distinct phases. Each phase is designed to test different competencies of the</w:t>
      </w:r>
      <w:r>
        <w:t xml:space="preserve"> </w:t>
      </w:r>
      <w:r>
        <w:rPr>
          <w:bCs/>
          <w:b/>
        </w:rPr>
        <w:t xml:space="preserve">Lawyer</w:t>
      </w:r>
      <w:r>
        <w:t xml:space="preserve"> </w:t>
      </w:r>
      <w:r>
        <w:t xml:space="preserve">within the context of</w:t>
      </w:r>
      <w:r>
        <w:t xml:space="preserve"> </w:t>
      </w:r>
      <w:r>
        <w:rPr>
          <w:bCs/>
          <w:b/>
        </w:rPr>
        <w:t xml:space="preserve">Singapore Singapore</w:t>
      </w:r>
      <w:r>
        <w:t xml:space="preserve">.</w:t>
      </w:r>
    </w:p>
    <w:bookmarkStart w:id="23" w:name="Xb066b1dfc9f6f491fdaea30b6bcacd4703fba8d"/>
    <w:p>
      <w:pPr>
        <w:pStyle w:val="Heading3"/>
      </w:pPr>
      <w:r>
        <w:t xml:space="preserve">Phase 1: Knowledge Retrieval and Statutory Interpretation</w:t>
      </w:r>
    </w:p>
    <w:p>
      <w:pPr>
        <w:pStyle w:val="FirstParagraph"/>
      </w:pPr>
      <w:r>
        <w:t xml:space="preserve">In this initial phase, the</w:t>
      </w:r>
      <w:r>
        <w:t xml:space="preserve"> </w:t>
      </w:r>
      <w:r>
        <w:rPr>
          <w:bCs/>
          <w:b/>
        </w:rPr>
        <w:t xml:space="preserve">Lawyer</w:t>
      </w:r>
      <w:r>
        <w:t xml:space="preserve"> </w:t>
      </w:r>
      <w:r>
        <w:t xml:space="preserve">will be presented with hypothetical fact patterns involving breaches of contract or regulatory non-compliance. The</w:t>
      </w:r>
      <w:r>
        <w:t xml:space="preserve"> </w:t>
      </w:r>
      <w:r>
        <w:rPr>
          <w:bCs/>
          <w:b/>
        </w:rPr>
        <w:t xml:space="preserve">Lawyer</w:t>
      </w:r>
      <w:r>
        <w:t xml:space="preserve"> </w:t>
      </w:r>
      <w:r>
        <w:t xml:space="preserve">must identify the relevant statutes applicable in</w:t>
      </w:r>
      <w:r>
        <w:t xml:space="preserve"> </w:t>
      </w:r>
      <w:r>
        <w:rPr>
          <w:bCs/>
          <w:b/>
        </w:rPr>
        <w:t xml:space="preserve">Singapore Singapore</w:t>
      </w:r>
      <w:r>
        <w:t xml:space="preserve">. For example, if a scenario involves data privacy, the</w:t>
      </w:r>
      <w:r>
        <w:t xml:space="preserve"> </w:t>
      </w:r>
      <w:r>
        <w:rPr>
          <w:bCs/>
          <w:b/>
        </w:rPr>
        <w:t xml:space="preserve">Lawyer</w:t>
      </w:r>
      <w:r>
        <w:t xml:space="preserve"> </w:t>
      </w:r>
      <w:r>
        <w:t xml:space="preserve">must correctly cite the Personal Data Protection Act (PDPA) of Singapore. Accuracy in citing specific sections of the law is a critical metric for this phase.</w:t>
      </w:r>
    </w:p>
    <w:bookmarkEnd w:id="23"/>
    <w:bookmarkStart w:id="24" w:name="phase-2-legal-drafting-and-advisory"/>
    <w:p>
      <w:pPr>
        <w:pStyle w:val="Heading3"/>
      </w:pPr>
      <w:r>
        <w:t xml:space="preserve">Phase 2: Legal Drafting and Advisory</w:t>
      </w:r>
    </w:p>
    <w:p>
      <w:pPr>
        <w:pStyle w:val="FirstParagraph"/>
      </w:pPr>
      <w:r>
        <w:t xml:space="preserve">The second phase requires the</w:t>
      </w:r>
      <w:r>
        <w:t xml:space="preserve"> </w:t>
      </w:r>
      <w:r>
        <w:rPr>
          <w:bCs/>
          <w:b/>
        </w:rPr>
        <w:t xml:space="preserve">Lawyer</w:t>
      </w:r>
      <w:r>
        <w:t xml:space="preserve"> </w:t>
      </w:r>
      <w:r>
        <w:t xml:space="preserve">to draft legal documents. These may include Non-Disclosure Agreements (NDAs), Shareholders' Agreements, or Cease and Desist letters. The drafting must conform to the stylistic and substantive expectations of legal practitioners in</w:t>
      </w:r>
      <w:r>
        <w:t xml:space="preserve"> </w:t>
      </w:r>
      <w:r>
        <w:rPr>
          <w:bCs/>
          <w:b/>
        </w:rPr>
        <w:t xml:space="preserve">Singapore Singapore</w:t>
      </w:r>
      <w:r>
        <w:t xml:space="preserve">. The</w:t>
      </w:r>
      <w:r>
        <w:t xml:space="preserve"> </w:t>
      </w:r>
      <w:r>
        <w:rPr>
          <w:bCs/>
          <w:b/>
        </w:rPr>
        <w:t xml:space="preserve">Experiment Protocol</w:t>
      </w:r>
      <w:r>
        <w:t xml:space="preserve"> </w:t>
      </w:r>
      <w:r>
        <w:t xml:space="preserve">mandates that all drafted documents be reviewed by a panel of qualified legal experts to ensure they would hold up in a Singaporean court of law.</w:t>
      </w:r>
    </w:p>
    <w:bookmarkEnd w:id="24"/>
    <w:bookmarkStart w:id="25" w:name="Xf5c78d3bd386926940f967ee8e31e7ed6d07d86"/>
    <w:p>
      <w:pPr>
        <w:pStyle w:val="Heading3"/>
      </w:pPr>
      <w:r>
        <w:t xml:space="preserve">Phase 3: Ethical Compliance and Professional Conduct</w:t>
      </w:r>
    </w:p>
    <w:p>
      <w:pPr>
        <w:pStyle w:val="FirstParagraph"/>
      </w:pPr>
      <w:r>
        <w:t xml:space="preserve">The final phase tests the ethical boundaries of the</w:t>
      </w:r>
      <w:r>
        <w:t xml:space="preserve"> </w:t>
      </w:r>
      <w:r>
        <w:rPr>
          <w:bCs/>
          <w:b/>
        </w:rPr>
        <w:t xml:space="preserve">Lawyer</w:t>
      </w:r>
      <w:r>
        <w:t xml:space="preserve">. Scenarios will be designed to present conflicts of interest, confidentiality breaches, or potential misconduct. The</w:t>
      </w:r>
      <w:r>
        <w:t xml:space="preserve"> </w:t>
      </w:r>
      <w:r>
        <w:rPr>
          <w:bCs/>
          <w:b/>
        </w:rPr>
        <w:t xml:space="preserve">Lawyer</w:t>
      </w:r>
      <w:r>
        <w:t xml:space="preserve"> </w:t>
      </w:r>
      <w:r>
        <w:t xml:space="preserve">must navigate these scenarios in strict accordance with the Code of Conduct and Ethics of the Law Society of Singapore. This ensures that the</w:t>
      </w:r>
      <w:r>
        <w:t xml:space="preserve"> </w:t>
      </w:r>
      <w:r>
        <w:rPr>
          <w:bCs/>
          <w:b/>
        </w:rPr>
        <w:t xml:space="preserve">Experiment Protocol</w:t>
      </w:r>
      <w:r>
        <w:t xml:space="preserve"> </w:t>
      </w:r>
      <w:r>
        <w:t xml:space="preserve">not only tests legal acumen but also professional integrity.</w:t>
      </w:r>
    </w:p>
    <w:bookmarkEnd w:id="25"/>
    <w:bookmarkEnd w:id="26"/>
    <w:bookmarkStart w:id="27" w:name="evaluation-criteria"/>
    <w:p>
      <w:pPr>
        <w:pStyle w:val="Heading2"/>
      </w:pPr>
      <w:r>
        <w:t xml:space="preserve">4. Evaluation Criteria</w:t>
      </w:r>
    </w:p>
    <w:p>
      <w:pPr>
        <w:pStyle w:val="FirstParagraph"/>
      </w:pPr>
      <w:r>
        <w:t xml:space="preserve">To ensure the validity of the</w:t>
      </w:r>
      <w:r>
        <w:t xml:space="preserve"> </w:t>
      </w:r>
      <w:r>
        <w:rPr>
          <w:bCs/>
          <w:b/>
        </w:rPr>
        <w:t xml:space="preserve">Experiment Protocol</w:t>
      </w:r>
      <w:r>
        <w:t xml:space="preserve">, the performance of the</w:t>
      </w:r>
      <w:r>
        <w:t xml:space="preserve"> </w:t>
      </w:r>
      <w:r>
        <w:rPr>
          <w:bCs/>
          <w:b/>
        </w:rPr>
        <w:t xml:space="preserve">Lawyer</w:t>
      </w:r>
      <w:r>
        <w:t xml:space="preserve"> </w:t>
      </w:r>
      <w:r>
        <w:t xml:space="preserve">will be evaluated based on the following quantitative and qualitative metrics:</w:t>
      </w:r>
    </w:p>
    <w:p>
      <w:pPr>
        <w:numPr>
          <w:ilvl w:val="0"/>
          <w:numId w:val="1002"/>
        </w:numPr>
        <w:pStyle w:val="Compact"/>
      </w:pPr>
      <w:r>
        <w:rPr>
          <w:bCs/>
          <w:b/>
        </w:rPr>
        <w:t xml:space="preserve">Accuracy:</w:t>
      </w:r>
      <w:r>
        <w:t xml:space="preserve"> </w:t>
      </w:r>
      <w:r>
        <w:t xml:space="preserve">The percentage of correct legal citations and interpretations relevant to</w:t>
      </w:r>
      <w:r>
        <w:t xml:space="preserve"> </w:t>
      </w:r>
      <w:r>
        <w:rPr>
          <w:bCs/>
          <w:b/>
        </w:rPr>
        <w:t xml:space="preserve">Singapore Singapore</w:t>
      </w:r>
      <w:r>
        <w:t xml:space="preserve">.</w:t>
      </w:r>
    </w:p>
    <w:p>
      <w:pPr>
        <w:numPr>
          <w:ilvl w:val="0"/>
          <w:numId w:val="1002"/>
        </w:numPr>
        <w:pStyle w:val="Compact"/>
      </w:pPr>
      <w:r>
        <w:rPr>
          <w:bCs/>
          <w:b/>
        </w:rPr>
        <w:t xml:space="preserve">Relevance:</w:t>
      </w:r>
      <w:r>
        <w:t xml:space="preserve"> </w:t>
      </w:r>
      <w:r>
        <w:t xml:space="preserve">The ability of the</w:t>
      </w:r>
      <w:r>
        <w:t xml:space="preserve"> </w:t>
      </w:r>
      <w:r>
        <w:rPr>
          <w:bCs/>
          <w:b/>
        </w:rPr>
        <w:t xml:space="preserve">Lawyer</w:t>
      </w:r>
      <w:r>
        <w:t xml:space="preserve"> </w:t>
      </w:r>
      <w:r>
        <w:t xml:space="preserve">to filter out irrelevant laws from other jurisdictions and focus solely on Singaporean law.</w:t>
      </w:r>
    </w:p>
    <w:p>
      <w:pPr>
        <w:numPr>
          <w:ilvl w:val="0"/>
          <w:numId w:val="1002"/>
        </w:numPr>
        <w:pStyle w:val="Compact"/>
      </w:pPr>
      <w:r>
        <w:rPr>
          <w:bCs/>
          <w:b/>
        </w:rPr>
        <w:t xml:space="preserve">Clarity:</w:t>
      </w:r>
      <w:r>
        <w:t xml:space="preserve"> </w:t>
      </w:r>
      <w:r>
        <w:t xml:space="preserve">The readability and precision of the legal advice provided.</w:t>
      </w:r>
    </w:p>
    <w:p>
      <w:pPr>
        <w:numPr>
          <w:ilvl w:val="0"/>
          <w:numId w:val="1002"/>
        </w:numPr>
        <w:pStyle w:val="Compact"/>
      </w:pPr>
      <w:r>
        <w:rPr>
          <w:bCs/>
          <w:b/>
        </w:rPr>
        <w:t xml:space="preserve">Compliance:</w:t>
      </w:r>
      <w:r>
        <w:t xml:space="preserve"> </w:t>
      </w:r>
      <w:r>
        <w:t xml:space="preserve">Adherence to the ethical standards mandated by the regulatory bodies in</w:t>
      </w:r>
      <w:r>
        <w:t xml:space="preserve"> </w:t>
      </w:r>
      <w:r>
        <w:rPr>
          <w:bCs/>
          <w:b/>
        </w:rPr>
        <w:t xml:space="preserve">Singapore Singapore</w:t>
      </w:r>
      <w:r>
        <w:t xml:space="preserve">.</w:t>
      </w:r>
    </w:p>
    <w:bookmarkEnd w:id="27"/>
    <w:bookmarkStart w:id="28" w:name="risk-management-and-limitations"/>
    <w:p>
      <w:pPr>
        <w:pStyle w:val="Heading2"/>
      </w:pPr>
      <w:r>
        <w:t xml:space="preserve">5. Risk Management and Limitations</w:t>
      </w:r>
    </w:p>
    <w:p>
      <w:pPr>
        <w:pStyle w:val="FirstParagraph"/>
      </w:pPr>
      <w:r>
        <w:t xml:space="preserve">It is imperative to note that this</w:t>
      </w:r>
      <w:r>
        <w:t xml:space="preserve"> </w:t>
      </w:r>
      <w:r>
        <w:rPr>
          <w:bCs/>
          <w:b/>
        </w:rPr>
        <w:t xml:space="preserve">Experiment Protocol</w:t>
      </w:r>
      <w:r>
        <w:t xml:space="preserve"> </w:t>
      </w:r>
      <w:r>
        <w:t xml:space="preserve">is for research and simulation purposes only. The advice generated by the</w:t>
      </w:r>
      <w:r>
        <w:t xml:space="preserve"> </w:t>
      </w:r>
      <w:r>
        <w:rPr>
          <w:bCs/>
          <w:b/>
        </w:rPr>
        <w:t xml:space="preserve">Lawyer</w:t>
      </w:r>
      <w:r>
        <w:t xml:space="preserve"> </w:t>
      </w:r>
      <w:r>
        <w:t xml:space="preserve">during this experiment does not constitute actual legal advice and should not be relied upon for real-world legal matters in</w:t>
      </w:r>
      <w:r>
        <w:t xml:space="preserve"> </w:t>
      </w:r>
      <w:r>
        <w:rPr>
          <w:bCs/>
          <w:b/>
        </w:rPr>
        <w:t xml:space="preserve">Singapore Singapore</w:t>
      </w:r>
      <w:r>
        <w:t xml:space="preserve">.</w:t>
      </w:r>
    </w:p>
    <w:p>
      <w:pPr>
        <w:pStyle w:val="BodyText"/>
      </w:pPr>
      <w:r>
        <w:t xml:space="preserve">Participants must be aware of the limitations of the simulation. While the</w:t>
      </w:r>
      <w:r>
        <w:t xml:space="preserve"> </w:t>
      </w:r>
      <w:r>
        <w:rPr>
          <w:bCs/>
          <w:b/>
        </w:rPr>
        <w:t xml:space="preserve">Lawyer</w:t>
      </w:r>
      <w:r>
        <w:t xml:space="preserve"> </w:t>
      </w:r>
      <w:r>
        <w:t xml:space="preserve">is trained on extensive legal data, the dynamic nature of legislation in</w:t>
      </w:r>
      <w:r>
        <w:t xml:space="preserve"> </w:t>
      </w:r>
      <w:r>
        <w:rPr>
          <w:bCs/>
          <w:b/>
        </w:rPr>
        <w:t xml:space="preserve">Singapore Singapore</w:t>
      </w:r>
      <w:r>
        <w:t xml:space="preserve"> </w:t>
      </w:r>
      <w:r>
        <w:t xml:space="preserve">means that real-time updates are crucial. Any discrepancies between the experiment's data and current laws must be documented as part of the protocol's findings.</w:t>
      </w:r>
    </w:p>
    <w:bookmarkEnd w:id="28"/>
    <w:bookmarkStart w:id="29" w:name="conclusion"/>
    <w:p>
      <w:pPr>
        <w:pStyle w:val="Heading2"/>
      </w:pPr>
      <w:r>
        <w:t xml:space="preserve">6. Conclusion</w:t>
      </w:r>
    </w:p>
    <w:p>
      <w:pPr>
        <w:pStyle w:val="FirstParagraph"/>
      </w:pPr>
      <w:r>
        <w:t xml:space="preserve">This</w:t>
      </w:r>
      <w:r>
        <w:t xml:space="preserve"> </w:t>
      </w:r>
      <w:r>
        <w:rPr>
          <w:bCs/>
          <w:b/>
        </w:rPr>
        <w:t xml:space="preserve">Experiment Protocol</w:t>
      </w:r>
      <w:r>
        <w:t xml:space="preserve"> </w:t>
      </w:r>
      <w:r>
        <w:t xml:space="preserve">provides a structured approach to evaluating the capabilities of a</w:t>
      </w:r>
      <w:r>
        <w:t xml:space="preserve"> </w:t>
      </w:r>
      <w:r>
        <w:rPr>
          <w:bCs/>
          <w:b/>
        </w:rPr>
        <w:t xml:space="preserve">Lawyer</w:t>
      </w:r>
      <w:r>
        <w:t xml:space="preserve"> </w:t>
      </w:r>
      <w:r>
        <w:t xml:space="preserve">within the specific legal ecosystem of</w:t>
      </w:r>
      <w:r>
        <w:t xml:space="preserve"> </w:t>
      </w:r>
      <w:r>
        <w:rPr>
          <w:bCs/>
          <w:b/>
        </w:rPr>
        <w:t xml:space="preserve">Singapore Singapore</w:t>
      </w:r>
      <w:r>
        <w:t xml:space="preserve">. By rigorously testing knowledge, drafting skills, and ethical judgment, this experiment aims to contribute valuable insights into the future of legal practice and technology in the region. The findings will help refine the standards for legal advisory tools and ensure they meet the high expectations of the Singaporean legal community.</w:t>
      </w:r>
    </w:p>
    <w:bookmarkEnd w:id="29"/>
    <w:p>
      <w:pPr>
        <w:pStyle w:val="BodyText"/>
      </w:pPr>
      <w:r>
        <w:t xml:space="preserve">© 2024 Legal Research Institute. All rights reserved. This document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Simulation in Singapore</dc:title>
  <dc:creator/>
  <dc:language>en</dc:language>
  <cp:keywords/>
  <dcterms:created xsi:type="dcterms:W3CDTF">2026-10-10T05:11:37Z</dcterms:created>
  <dcterms:modified xsi:type="dcterms:W3CDTF">2026-10-10T05:11:37Z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