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Legal</w:t>
      </w:r>
      <w:r>
        <w:t xml:space="preserve"> </w:t>
      </w:r>
      <w:r>
        <w:t xml:space="preserve">Practice</w:t>
      </w:r>
      <w:r>
        <w:t xml:space="preserve"> </w:t>
      </w:r>
      <w:r>
        <w:t xml:space="preserve">in</w:t>
      </w:r>
      <w:r>
        <w:t xml:space="preserve"> </w:t>
      </w:r>
      <w:r>
        <w:t xml:space="preserve">Spain</w:t>
      </w:r>
      <w:r>
        <w:t xml:space="preserve"> </w:t>
      </w:r>
      <w:r>
        <w:t xml:space="preserve">Madrid</w:t>
      </w:r>
    </w:p>
    <w:bookmarkStart w:id="20" w:name="Xcd9219618cac9fb40845b6bcffa7bfb09f52d3f"/>
    <w:p>
      <w:pPr>
        <w:pStyle w:val="Heading1"/>
      </w:pPr>
      <w:r>
        <w:t xml:space="preserve">Experiment Protocol: Legal Practice in Spain Madrid</w:t>
      </w:r>
    </w:p>
    <w:p>
      <w:pPr>
        <w:pStyle w:val="FirstParagraph"/>
      </w:pPr>
      <w:r>
        <w:t xml:space="preserve">Standardized Procedure for the Evaluation of Legal Services and Professional Conduct</w:t>
      </w:r>
    </w:p>
    <w:bookmarkEnd w:id="20"/>
    <w:p>
      <w:pPr>
        <w:pStyle w:val="BodyText"/>
      </w:pPr>
      <w:r>
        <w:rPr>
          <w:bCs/>
          <w:b/>
        </w:rPr>
        <w:t xml:space="preserve">Protocol ID:</w:t>
      </w:r>
      <w:r>
        <w:t xml:space="preserve"> </w:t>
      </w:r>
      <w:r>
        <w:t xml:space="preserve">ESP-MAD-LAW-2023-001</w:t>
      </w:r>
    </w:p>
    <w:p>
      <w:pPr>
        <w:pStyle w:val="BodyText"/>
      </w:pPr>
      <w:r>
        <w:rPr>
          <w:bCs/>
          <w:b/>
        </w:rPr>
        <w:t xml:space="preserve">Location:</w:t>
      </w:r>
      <w:r>
        <w:t xml:space="preserve"> </w:t>
      </w:r>
      <w:r>
        <w:t xml:space="preserve">Madrid, Spain</w:t>
      </w:r>
    </w:p>
    <w:p>
      <w:pPr>
        <w:pStyle w:val="BodyText"/>
      </w:pPr>
      <w:r>
        <w:rPr>
          <w:bCs/>
          <w:b/>
        </w:rPr>
        <w:t xml:space="preserve">Subject:</w:t>
      </w:r>
      <w:r>
        <w:t xml:space="preserve"> </w:t>
      </w:r>
      <w:r>
        <w:t xml:space="preserve">Lawyer (Abogado)</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26, 2023</w:t>
      </w:r>
    </w:p>
    <w:bookmarkStart w:id="21" w:name="introduction-and-objective"/>
    <w:p>
      <w:pPr>
        <w:pStyle w:val="Heading2"/>
      </w:pPr>
      <w:r>
        <w:t xml:space="preserve">1. Introduction and Objective</w:t>
      </w:r>
    </w:p>
    <w:p>
      <w:pPr>
        <w:pStyle w:val="FirstParagraph"/>
      </w:pPr>
      <w:r>
        <w:t xml:space="preserve">This Experiment Protocol outlines the standardized methodology for assessing the performance, ethical compliance, and service quality of a Lawyer operating within the jurisdiction of Spain Madrid. The primary objective is to establish a rigorous framework for evaluating legal professionals against the standards set by the Ilustre Colegio de Abogados de Madrid (ICAM) and the broader Spanish legal system.</w:t>
      </w:r>
    </w:p>
    <w:p>
      <w:pPr>
        <w:pStyle w:val="BodyText"/>
      </w:pPr>
      <w:r>
        <w:t xml:space="preserve">The protocol is designed to be used by regulatory bodies, law firms, or independent research entities conducting empirical studies on legal practice. It ensures that all evaluations are conducted with impartiality, transparency, and adherence to the local legal culture of Madrid.</w:t>
      </w:r>
    </w:p>
    <w:bookmarkEnd w:id="21"/>
    <w:bookmarkStart w:id="22" w:name="scope-and-definitions"/>
    <w:p>
      <w:pPr>
        <w:pStyle w:val="Heading2"/>
      </w:pPr>
      <w:r>
        <w:t xml:space="preserve">2. Scope and Definitions</w:t>
      </w:r>
    </w:p>
    <w:p>
      <w:pPr>
        <w:pStyle w:val="FirstParagraph"/>
      </w:pPr>
      <w:r>
        <w:t xml:space="preserve">This protocol applies to all legal professionals registered with the ICAM who provide services to clients within the Community of Madrid. Key definitions include:</w:t>
      </w:r>
    </w:p>
    <w:p>
      <w:pPr>
        <w:numPr>
          <w:ilvl w:val="0"/>
          <w:numId w:val="1001"/>
        </w:numPr>
        <w:pStyle w:val="Compact"/>
      </w:pPr>
      <w:r>
        <w:rPr>
          <w:bCs/>
          <w:b/>
        </w:rPr>
        <w:t xml:space="preserve">Lawyer (Abogado):</w:t>
      </w:r>
      <w:r>
        <w:t xml:space="preserve"> </w:t>
      </w:r>
      <w:r>
        <w:t xml:space="preserve">A qualified legal professional authorized to practice law in Spain, specifically registered with the Madrid Bar Association.</w:t>
      </w:r>
    </w:p>
    <w:p>
      <w:pPr>
        <w:numPr>
          <w:ilvl w:val="0"/>
          <w:numId w:val="1001"/>
        </w:numPr>
        <w:pStyle w:val="Compact"/>
      </w:pPr>
      <w:r>
        <w:rPr>
          <w:bCs/>
          <w:b/>
        </w:rPr>
        <w:t xml:space="preserve">Spain Madrid:</w:t>
      </w:r>
      <w:r>
        <w:t xml:space="preserve"> </w:t>
      </w:r>
      <w:r>
        <w:t xml:space="preserve">The specific geographical and legal jurisdiction encompassing the city of Madrid and its metropolitan area, governed by Spanish national law and regional statutes.</w:t>
      </w:r>
    </w:p>
    <w:p>
      <w:pPr>
        <w:numPr>
          <w:ilvl w:val="0"/>
          <w:numId w:val="1001"/>
        </w:numPr>
        <w:pStyle w:val="Compact"/>
      </w:pPr>
      <w:r>
        <w:rPr>
          <w:bCs/>
          <w:b/>
        </w:rPr>
        <w:t xml:space="preserve">Experiment:</w:t>
      </w:r>
      <w:r>
        <w:t xml:space="preserve"> </w:t>
      </w:r>
      <w:r>
        <w:t xml:space="preserve">A structured observation or assessment process designed to measure specific variables related to legal service delivery.</w:t>
      </w:r>
    </w:p>
    <w:bookmarkEnd w:id="22"/>
    <w:bookmarkStart w:id="23" w:name="ethical-considerations-and-compliance"/>
    <w:p>
      <w:pPr>
        <w:pStyle w:val="Heading2"/>
      </w:pPr>
      <w:r>
        <w:t xml:space="preserve">3. Ethical Considerations and Compliance</w:t>
      </w:r>
    </w:p>
    <w:p>
      <w:pPr>
        <w:pStyle w:val="FirstParagraph"/>
      </w:pPr>
      <w:r>
        <w:t xml:space="preserve">Given the sensitive nature of legal practice, this experiment must strictly adhere to ethical guidelines. All procedures must comply with:</w:t>
      </w:r>
    </w:p>
    <w:p>
      <w:pPr>
        <w:numPr>
          <w:ilvl w:val="0"/>
          <w:numId w:val="1002"/>
        </w:numPr>
        <w:pStyle w:val="Compact"/>
      </w:pPr>
      <w:r>
        <w:t xml:space="preserve">The Spanish Constitution and the Statute of Autonomy of Madrid.</w:t>
      </w:r>
    </w:p>
    <w:p>
      <w:pPr>
        <w:numPr>
          <w:ilvl w:val="0"/>
          <w:numId w:val="1002"/>
        </w:numPr>
        <w:pStyle w:val="Compact"/>
      </w:pPr>
      <w:r>
        <w:t xml:space="preserve">The General Data Protection Regulation (GDPR) and the Spanish Organic Law on Data Protection (LOPDGDD).</w:t>
      </w:r>
    </w:p>
    <w:p>
      <w:pPr>
        <w:numPr>
          <w:ilvl w:val="0"/>
          <w:numId w:val="1002"/>
        </w:numPr>
        <w:pStyle w:val="Compact"/>
      </w:pPr>
      <w:r>
        <w:t xml:space="preserve">The Code of Ethics of the ICAM.</w:t>
      </w:r>
    </w:p>
    <w:p>
      <w:pPr>
        <w:pStyle w:val="FirstParagraph"/>
      </w:pPr>
      <w:r>
        <w:t xml:space="preserve">Informed consent must be obtained from all participating Lawyers and clients. Confidentiality of client information is paramount; no case details that could identify individuals may be disclosed without explicit, written permission.</w:t>
      </w:r>
    </w:p>
    <w:bookmarkEnd w:id="23"/>
    <w:bookmarkStart w:id="27" w:name="methodology"/>
    <w:p>
      <w:pPr>
        <w:pStyle w:val="Heading2"/>
      </w:pPr>
      <w:r>
        <w:t xml:space="preserve">4. Methodology</w:t>
      </w:r>
    </w:p>
    <w:bookmarkStart w:id="24" w:name="participant-selection"/>
    <w:p>
      <w:pPr>
        <w:pStyle w:val="Heading3"/>
      </w:pPr>
      <w:r>
        <w:t xml:space="preserve">4.1. Participant Selection</w:t>
      </w:r>
    </w:p>
    <w:p>
      <w:pPr>
        <w:pStyle w:val="FirstParagraph"/>
      </w:pPr>
      <w:r>
        <w:t xml:space="preserve">Participants will be selected through a stratified random sampling method from the ICAM registry. The sample will include Lawyers specializing in various fields such as civil, criminal, corporate, and administrative law to ensure a comprehensive evaluation of the legal landscape in Spain Madrid.</w:t>
      </w:r>
    </w:p>
    <w:bookmarkEnd w:id="24"/>
    <w:bookmarkStart w:id="25" w:name="data-collection-instruments"/>
    <w:p>
      <w:pPr>
        <w:pStyle w:val="Heading3"/>
      </w:pPr>
      <w:r>
        <w:t xml:space="preserve">4.2. Data Collection Instruments</w:t>
      </w:r>
    </w:p>
    <w:p>
      <w:pPr>
        <w:pStyle w:val="FirstParagraph"/>
      </w:pPr>
      <w:r>
        <w:t xml:space="preserve">Data will be collected using the following instruments:</w:t>
      </w:r>
    </w:p>
    <w:p>
      <w:pPr>
        <w:numPr>
          <w:ilvl w:val="0"/>
          <w:numId w:val="1003"/>
        </w:numPr>
        <w:pStyle w:val="Compact"/>
      </w:pPr>
      <w:r>
        <w:rPr>
          <w:bCs/>
          <w:b/>
        </w:rPr>
        <w:t xml:space="preserve">Structured Interviews:</w:t>
      </w:r>
      <w:r>
        <w:t xml:space="preserve"> </w:t>
      </w:r>
      <w:r>
        <w:t xml:space="preserve">Semi-structured interviews with Lawyers to assess their understanding of local regulations and ethical obligations.</w:t>
      </w:r>
    </w:p>
    <w:p>
      <w:pPr>
        <w:numPr>
          <w:ilvl w:val="0"/>
          <w:numId w:val="1003"/>
        </w:numPr>
        <w:pStyle w:val="Compact"/>
      </w:pPr>
      <w:r>
        <w:rPr>
          <w:bCs/>
          <w:b/>
        </w:rPr>
        <w:t xml:space="preserve">Case File Review:</w:t>
      </w:r>
      <w:r>
        <w:t xml:space="preserve"> </w:t>
      </w:r>
      <w:r>
        <w:t xml:space="preserve">Anonymized review of case files to evaluate documentation quality, procedural accuracy, and adherence to deadlines.</w:t>
      </w:r>
    </w:p>
    <w:p>
      <w:pPr>
        <w:numPr>
          <w:ilvl w:val="0"/>
          <w:numId w:val="1003"/>
        </w:numPr>
        <w:pStyle w:val="Compact"/>
      </w:pPr>
      <w:r>
        <w:rPr>
          <w:bCs/>
          <w:b/>
        </w:rPr>
        <w:t xml:space="preserve">Client Surveys:</w:t>
      </w:r>
      <w:r>
        <w:t xml:space="preserve"> </w:t>
      </w:r>
      <w:r>
        <w:t xml:space="preserve">Standardized questionnaires distributed to clients to measure satisfaction, communication effectiveness, and perceived professionalism.</w:t>
      </w:r>
    </w:p>
    <w:p>
      <w:pPr>
        <w:numPr>
          <w:ilvl w:val="0"/>
          <w:numId w:val="1003"/>
        </w:numPr>
        <w:pStyle w:val="Compact"/>
      </w:pPr>
      <w:r>
        <w:rPr>
          <w:bCs/>
          <w:b/>
        </w:rPr>
        <w:t xml:space="preserve">Observational Checklists:</w:t>
      </w:r>
      <w:r>
        <w:t xml:space="preserve"> </w:t>
      </w:r>
      <w:r>
        <w:t xml:space="preserve">Direct observation of court proceedings in Madrid courts to assess advocacy skills and courtroom etiquette.</w:t>
      </w:r>
    </w:p>
    <w:bookmarkEnd w:id="25"/>
    <w:bookmarkStart w:id="26" w:name="experimental-procedure"/>
    <w:p>
      <w:pPr>
        <w:pStyle w:val="Heading3"/>
      </w:pPr>
      <w:r>
        <w:t xml:space="preserve">4.3. Experimental Procedure</w:t>
      </w:r>
    </w:p>
    <w:p>
      <w:pPr>
        <w:pStyle w:val="FirstParagraph"/>
      </w:pPr>
      <w:r>
        <w:t xml:space="preserve">The experiment will proceed in three phases:</w:t>
      </w:r>
    </w:p>
    <w:p>
      <w:pPr>
        <w:numPr>
          <w:ilvl w:val="0"/>
          <w:numId w:val="1004"/>
        </w:numPr>
        <w:pStyle w:val="Compact"/>
      </w:pPr>
      <w:r>
        <w:rPr>
          <w:bCs/>
          <w:b/>
        </w:rPr>
        <w:t xml:space="preserve">Phase 1: Preparation.</w:t>
      </w:r>
      <w:r>
        <w:t xml:space="preserve"> </w:t>
      </w:r>
      <w:r>
        <w:t xml:space="preserve">Obtain necessary approvals from the ICAM and relevant data protection authorities. Train evaluators on the specific legal context of Spain Madrid.</w:t>
      </w:r>
    </w:p>
    <w:p>
      <w:pPr>
        <w:numPr>
          <w:ilvl w:val="0"/>
          <w:numId w:val="1004"/>
        </w:numPr>
        <w:pStyle w:val="Compact"/>
      </w:pPr>
      <w:r>
        <w:rPr>
          <w:bCs/>
          <w:b/>
        </w:rPr>
        <w:t xml:space="preserve">Phase 2: Execution.</w:t>
      </w:r>
      <w:r>
        <w:t xml:space="preserve"> </w:t>
      </w:r>
      <w:r>
        <w:t xml:space="preserve">Conduct interviews, surveys, and observations over a period of six months. Ensure all interactions are documented accurately and securely.</w:t>
      </w:r>
    </w:p>
    <w:p>
      <w:pPr>
        <w:numPr>
          <w:ilvl w:val="0"/>
          <w:numId w:val="1004"/>
        </w:numPr>
        <w:pStyle w:val="Compact"/>
      </w:pPr>
      <w:r>
        <w:rPr>
          <w:bCs/>
          <w:b/>
        </w:rPr>
        <w:t xml:space="preserve">Phase 3: Analysis.</w:t>
      </w:r>
      <w:r>
        <w:t xml:space="preserve"> </w:t>
      </w:r>
      <w:r>
        <w:t xml:space="preserve">Compile and analyze data using statistical methods to identify trends, strengths, and areas for improvement in legal practice.</w:t>
      </w:r>
    </w:p>
    <w:bookmarkEnd w:id="26"/>
    <w:bookmarkEnd w:id="27"/>
    <w:bookmarkStart w:id="28" w:name="evaluation-criteria"/>
    <w:p>
      <w:pPr>
        <w:pStyle w:val="Heading2"/>
      </w:pPr>
      <w:r>
        <w:t xml:space="preserve">5. Evaluation Criteria</w:t>
      </w:r>
    </w:p>
    <w:p>
      <w:pPr>
        <w:pStyle w:val="FirstParagraph"/>
      </w:pPr>
      <w:r>
        <w:t xml:space="preserve">Each Lawyer will be evaluated based on the following criteria:</w:t>
      </w:r>
    </w:p>
    <w:p>
      <w:pPr>
        <w:numPr>
          <w:ilvl w:val="0"/>
          <w:numId w:val="1005"/>
        </w:numPr>
        <w:pStyle w:val="Compact"/>
      </w:pPr>
      <w:r>
        <w:rPr>
          <w:bCs/>
          <w:b/>
        </w:rPr>
        <w:t xml:space="preserve">Legal Knowledge:</w:t>
      </w:r>
      <w:r>
        <w:t xml:space="preserve"> </w:t>
      </w:r>
      <w:r>
        <w:t xml:space="preserve">Proficiency in Spanish national law and regional regulations applicable in Madrid.</w:t>
      </w:r>
    </w:p>
    <w:p>
      <w:pPr>
        <w:numPr>
          <w:ilvl w:val="0"/>
          <w:numId w:val="1005"/>
        </w:numPr>
        <w:pStyle w:val="Compact"/>
      </w:pPr>
      <w:r>
        <w:rPr>
          <w:bCs/>
          <w:b/>
        </w:rPr>
        <w:t xml:space="preserve">Professional Conduct:</w:t>
      </w:r>
      <w:r>
        <w:t xml:space="preserve"> </w:t>
      </w:r>
      <w:r>
        <w:t xml:space="preserve">Adherence to ethical standards, including confidentiality, conflict of interest management, and client communication.</w:t>
      </w:r>
    </w:p>
    <w:p>
      <w:pPr>
        <w:numPr>
          <w:ilvl w:val="0"/>
          <w:numId w:val="1005"/>
        </w:numPr>
        <w:pStyle w:val="Compact"/>
      </w:pPr>
      <w:r>
        <w:rPr>
          <w:bCs/>
          <w:b/>
        </w:rPr>
        <w:t xml:space="preserve">Efficiency:</w:t>
      </w:r>
      <w:r>
        <w:t xml:space="preserve"> </w:t>
      </w:r>
      <w:r>
        <w:t xml:space="preserve">Timeliness in case handling, responsiveness to client inquiries, and effective use of legal resources.</w:t>
      </w:r>
    </w:p>
    <w:p>
      <w:pPr>
        <w:numPr>
          <w:ilvl w:val="0"/>
          <w:numId w:val="1005"/>
        </w:numPr>
        <w:pStyle w:val="Compact"/>
      </w:pPr>
      <w:r>
        <w:rPr>
          <w:bCs/>
          <w:b/>
        </w:rPr>
        <w:t xml:space="preserve">Client Satisfaction:</w:t>
      </w:r>
      <w:r>
        <w:t xml:space="preserve"> </w:t>
      </w:r>
      <w:r>
        <w:t xml:space="preserve">Positive feedback from clients regarding the quality of service and overall experience.</w:t>
      </w:r>
    </w:p>
    <w:bookmarkEnd w:id="28"/>
    <w:bookmarkStart w:id="29" w:name="risk-management"/>
    <w:p>
      <w:pPr>
        <w:pStyle w:val="Heading2"/>
      </w:pPr>
      <w:r>
        <w:t xml:space="preserve">6. Risk Management</w:t>
      </w:r>
    </w:p>
    <w:p>
      <w:pPr>
        <w:pStyle w:val="FirstParagraph"/>
      </w:pPr>
      <w:r>
        <w:t xml:space="preserve">Potential risks include breaches of confidentiality, bias in evaluation, and non-cooperation from participants. Mitigation strategies include:</w:t>
      </w:r>
    </w:p>
    <w:p>
      <w:pPr>
        <w:numPr>
          <w:ilvl w:val="0"/>
          <w:numId w:val="1006"/>
        </w:numPr>
        <w:pStyle w:val="Compact"/>
      </w:pPr>
      <w:r>
        <w:t xml:space="preserve">Implementing strict data encryption and access controls.</w:t>
      </w:r>
    </w:p>
    <w:p>
      <w:pPr>
        <w:numPr>
          <w:ilvl w:val="0"/>
          <w:numId w:val="1006"/>
        </w:numPr>
        <w:pStyle w:val="Compact"/>
      </w:pPr>
      <w:r>
        <w:t xml:space="preserve">Using multiple evaluators to reduce individual bias.</w:t>
      </w:r>
    </w:p>
    <w:p>
      <w:pPr>
        <w:numPr>
          <w:ilvl w:val="0"/>
          <w:numId w:val="1006"/>
        </w:numPr>
        <w:pStyle w:val="Compact"/>
      </w:pPr>
      <w:r>
        <w:t xml:space="preserve">Providing clear information to participants about the voluntary nature of their involvement.</w:t>
      </w:r>
    </w:p>
    <w:bookmarkEnd w:id="29"/>
    <w:bookmarkStart w:id="30" w:name="reporting-and-dissemination"/>
    <w:p>
      <w:pPr>
        <w:pStyle w:val="Heading2"/>
      </w:pPr>
      <w:r>
        <w:t xml:space="preserve">7. Reporting and Dissemination</w:t>
      </w:r>
    </w:p>
    <w:p>
      <w:pPr>
        <w:pStyle w:val="FirstParagraph"/>
      </w:pPr>
      <w:r>
        <w:t xml:space="preserve">Findings will be compiled into a comprehensive report detailing the performance of Lawyers in Spain Madrid. The report will include recommendations for improving legal services and enhancing professional standards. Results will be shared with the ICAM and relevant stakeholders while maintaining the anonymity of individual participants.</w:t>
      </w:r>
    </w:p>
    <w:p>
      <w:pPr>
        <w:pStyle w:val="BodyText"/>
      </w:pPr>
      <w:r>
        <w:rPr>
          <w:bCs/>
          <w:b/>
        </w:rPr>
        <w:t xml:space="preserve">Note:</w:t>
      </w:r>
      <w:r>
        <w:t xml:space="preserve"> </w:t>
      </w:r>
      <w:r>
        <w:t xml:space="preserve">This protocol is a template and should be adapted to specific research needs. Always consult with legal experts in Spain Madrid to ensure compliance with current laws and regulations.</w:t>
      </w:r>
    </w:p>
    <w:p>
      <w:pPr>
        <w:pStyle w:val="BodyText"/>
      </w:pPr>
      <w:r>
        <w:t xml:space="preserve">© 2023 Experiment Protocol for Legal Practice in Spain Madrid. All rights reserved.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Legal Practice in Spain Madrid</dc:title>
  <dc:creator/>
  <dc:language>en</dc:language>
  <cp:keywords/>
  <dcterms:created xsi:type="dcterms:W3CDTF">2026-10-10T03:41:22Z</dcterms:created>
  <dcterms:modified xsi:type="dcterms:W3CDTF">2026-10-10T03:41:22Z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