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Service</w:t>
      </w:r>
      <w:r>
        <w:t xml:space="preserve"> </w:t>
      </w:r>
      <w:r>
        <w:t xml:space="preserve">Efficiency</w:t>
      </w:r>
      <w:r>
        <w:t xml:space="preserve"> </w:t>
      </w:r>
      <w:r>
        <w:t xml:space="preserve">in</w:t>
      </w:r>
      <w:r>
        <w:t xml:space="preserve"> </w:t>
      </w:r>
      <w:r>
        <w:t xml:space="preserve">Thailand</w:t>
      </w:r>
      <w:r>
        <w:t xml:space="preserve"> </w:t>
      </w:r>
      <w:r>
        <w:t xml:space="preserve">Bangkok</w:t>
      </w:r>
    </w:p>
    <w:bookmarkStart w:id="20" w:name="X0d491e1b815bacd417dc77cadbe6137e36ebd63"/>
    <w:p>
      <w:pPr>
        <w:pStyle w:val="Heading1"/>
      </w:pPr>
      <w:r>
        <w:t xml:space="preserve">Experiment Protocol: Enhancing Legal Service Efficiency for Lawyers in Thailand Bangkok</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Thailand Bangkok</w:t>
      </w:r>
    </w:p>
    <w:p>
      <w:pPr>
        <w:pStyle w:val="BodyText"/>
      </w:pPr>
      <w:r>
        <w:rPr>
          <w:bCs/>
          <w:b/>
        </w:rPr>
        <w:t xml:space="preserve">Prepared by:</w:t>
      </w:r>
      <w:r>
        <w:t xml:space="preserve"> </w:t>
      </w:r>
      <w:r>
        <w:t xml:space="preserve">Legal Technology Research Group</w:t>
      </w:r>
    </w:p>
    <w:bookmarkEnd w:id="20"/>
    <w:bookmarkStart w:id="21" w:name="introduction"/>
    <w:p>
      <w:pPr>
        <w:pStyle w:val="Heading2"/>
      </w:pPr>
      <w:r>
        <w:t xml:space="preserve">1. Introduction</w:t>
      </w:r>
    </w:p>
    <w:p>
      <w:pPr>
        <w:pStyle w:val="FirstParagraph"/>
      </w:pPr>
      <w:r>
        <w:t xml:space="preserve">This Experiment Protocol outlines the methodology for evaluating the impact of digital tools on the efficiency of lawyers practicing in Thailand Bangkok. The legal landscape in Thailand Bangkok is characterized by a blend of traditional practices and emerging technologies. As the demand for legal services grows, it is crucial to assess how modern tools can enhance the productivity and effectiveness of lawyers in this dynamic environment.</w:t>
      </w:r>
    </w:p>
    <w:p>
      <w:pPr>
        <w:pStyle w:val="BodyText"/>
      </w:pPr>
      <w:r>
        <w:t xml:space="preserve">The primary objective of this experiment is to determine whether the integration of specific digital tools can significantly improve the workflow, client communication, and case management capabilities of lawyers in Thailand Bangkok. This protocol is designed to provide a structured approach to collecting and analyzing data, ensuring that the findings are reliable and actionable.</w:t>
      </w:r>
    </w:p>
    <w:bookmarkEnd w:id="21"/>
    <w:bookmarkStart w:id="22" w:name="objectives"/>
    <w:p>
      <w:pPr>
        <w:pStyle w:val="Heading2"/>
      </w:pPr>
      <w:r>
        <w:t xml:space="preserve">2. Objectives</w:t>
      </w:r>
    </w:p>
    <w:p>
      <w:pPr>
        <w:pStyle w:val="FirstParagraph"/>
      </w:pPr>
      <w:r>
        <w:t xml:space="preserve">The key objectives of this experiment are:</w:t>
      </w:r>
    </w:p>
    <w:p>
      <w:pPr>
        <w:numPr>
          <w:ilvl w:val="0"/>
          <w:numId w:val="1001"/>
        </w:numPr>
        <w:pStyle w:val="Compact"/>
      </w:pPr>
      <w:r>
        <w:t xml:space="preserve">To assess the current workflow and challenges faced by lawyers in Thailand Bangkok.</w:t>
      </w:r>
    </w:p>
    <w:p>
      <w:pPr>
        <w:numPr>
          <w:ilvl w:val="0"/>
          <w:numId w:val="1001"/>
        </w:numPr>
        <w:pStyle w:val="Compact"/>
      </w:pPr>
      <w:r>
        <w:t xml:space="preserve">To evaluate the effectiveness of selected digital tools in improving legal service delivery.</w:t>
      </w:r>
    </w:p>
    <w:p>
      <w:pPr>
        <w:numPr>
          <w:ilvl w:val="0"/>
          <w:numId w:val="1001"/>
        </w:numPr>
        <w:pStyle w:val="Compact"/>
      </w:pPr>
      <w:r>
        <w:t xml:space="preserve">To measure changes in productivity, client satisfaction, and case resolution times.</w:t>
      </w:r>
    </w:p>
    <w:p>
      <w:pPr>
        <w:numPr>
          <w:ilvl w:val="0"/>
          <w:numId w:val="1001"/>
        </w:numPr>
        <w:pStyle w:val="Compact"/>
      </w:pPr>
      <w:r>
        <w:t xml:space="preserve">To identify best practices for integrating technology into legal workflows in Thailand Bangkok.</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quantitative and qualitative data collection techniques. The study will be conducted over a period of six months, involving a sample of lawyers practicing in Thailand Bangkok.</w:t>
      </w:r>
    </w:p>
    <w:bookmarkEnd w:id="23"/>
    <w:bookmarkStart w:id="24" w:name="participants"/>
    <w:p>
      <w:pPr>
        <w:pStyle w:val="Heading3"/>
      </w:pPr>
      <w:r>
        <w:t xml:space="preserve">3.2 Participants</w:t>
      </w:r>
    </w:p>
    <w:p>
      <w:pPr>
        <w:pStyle w:val="FirstParagraph"/>
      </w:pPr>
      <w:r>
        <w:t xml:space="preserve">The participants will be selected from law firms and legal departments in Thailand Bangkok. The sample will include:</w:t>
      </w:r>
    </w:p>
    <w:p>
      <w:pPr>
        <w:numPr>
          <w:ilvl w:val="0"/>
          <w:numId w:val="1002"/>
        </w:numPr>
        <w:pStyle w:val="Compact"/>
      </w:pPr>
      <w:r>
        <w:t xml:space="preserve">50 lawyers with varying levels of experience.</w:t>
      </w:r>
    </w:p>
    <w:p>
      <w:pPr>
        <w:numPr>
          <w:ilvl w:val="0"/>
          <w:numId w:val="1002"/>
        </w:numPr>
        <w:pStyle w:val="Compact"/>
      </w:pPr>
      <w:r>
        <w:t xml:space="preserve">Lawyers specializing in different areas of law, such as corporate, criminal, and family law.</w:t>
      </w:r>
    </w:p>
    <w:p>
      <w:pPr>
        <w:numPr>
          <w:ilvl w:val="0"/>
          <w:numId w:val="1002"/>
        </w:numPr>
        <w:pStyle w:val="Compact"/>
      </w:pPr>
      <w:r>
        <w:t xml:space="preserve">Participants will be divided into two groups: a control group continuing with traditional methods and an experimental group using the selected digital tools.</w:t>
      </w:r>
    </w:p>
    <w:bookmarkEnd w:id="24"/>
    <w:bookmarkStart w:id="25" w:name="digital-tools"/>
    <w:p>
      <w:pPr>
        <w:pStyle w:val="Heading3"/>
      </w:pPr>
      <w:r>
        <w:t xml:space="preserve">3.3 Digital Tools</w:t>
      </w:r>
    </w:p>
    <w:p>
      <w:pPr>
        <w:pStyle w:val="FirstParagraph"/>
      </w:pPr>
      <w:r>
        <w:t xml:space="preserve">The following digital tools will be introduced to the experimental group:</w:t>
      </w:r>
    </w:p>
    <w:p>
      <w:pPr>
        <w:numPr>
          <w:ilvl w:val="0"/>
          <w:numId w:val="1003"/>
        </w:numPr>
        <w:pStyle w:val="Compact"/>
      </w:pPr>
      <w:r>
        <w:t xml:space="preserve">Case management software for organizing and tracking legal cases.</w:t>
      </w:r>
    </w:p>
    <w:p>
      <w:pPr>
        <w:numPr>
          <w:ilvl w:val="0"/>
          <w:numId w:val="1003"/>
        </w:numPr>
        <w:pStyle w:val="Compact"/>
      </w:pPr>
      <w:r>
        <w:t xml:space="preserve">Document automation tools for generating legal documents.</w:t>
      </w:r>
    </w:p>
    <w:p>
      <w:pPr>
        <w:numPr>
          <w:ilvl w:val="0"/>
          <w:numId w:val="1003"/>
        </w:numPr>
        <w:pStyle w:val="Compact"/>
      </w:pPr>
      <w:r>
        <w:t xml:space="preserve">Secure communication platforms for client interactions.</w:t>
      </w:r>
    </w:p>
    <w:p>
      <w:pPr>
        <w:numPr>
          <w:ilvl w:val="0"/>
          <w:numId w:val="1003"/>
        </w:numPr>
        <w:pStyle w:val="Compact"/>
      </w:pPr>
      <w:r>
        <w:t xml:space="preserve">Legal research databases for accessing relevant laws and precedents.</w:t>
      </w:r>
    </w:p>
    <w:bookmarkEnd w:id="25"/>
    <w:bookmarkStart w:id="26" w:name="data-collection"/>
    <w:p>
      <w:pPr>
        <w:pStyle w:val="Heading3"/>
      </w:pPr>
      <w:r>
        <w:t xml:space="preserve">3.4 Data Collection</w:t>
      </w:r>
    </w:p>
    <w:p>
      <w:pPr>
        <w:pStyle w:val="FirstParagraph"/>
      </w:pPr>
      <w:r>
        <w:t xml:space="preserve">Data will be collected through the following methods:</w:t>
      </w:r>
    </w:p>
    <w:p>
      <w:pPr>
        <w:numPr>
          <w:ilvl w:val="0"/>
          <w:numId w:val="1004"/>
        </w:numPr>
        <w:pStyle w:val="Compact"/>
      </w:pPr>
      <w:r>
        <w:t xml:space="preserve">Surveys to gather feedback on the usability and effectiveness of the digital tools.</w:t>
      </w:r>
    </w:p>
    <w:p>
      <w:pPr>
        <w:numPr>
          <w:ilvl w:val="0"/>
          <w:numId w:val="1004"/>
        </w:numPr>
        <w:pStyle w:val="Compact"/>
      </w:pPr>
      <w:r>
        <w:t xml:space="preserve">Interviews with participants to gain deeper insights into their experiences.</w:t>
      </w:r>
    </w:p>
    <w:p>
      <w:pPr>
        <w:numPr>
          <w:ilvl w:val="0"/>
          <w:numId w:val="1004"/>
        </w:numPr>
        <w:pStyle w:val="Compact"/>
      </w:pPr>
      <w:r>
        <w:t xml:space="preserve">Performance metrics, including time spent on tasks, number of cases handled, and client satisfaction scores.</w:t>
      </w:r>
    </w:p>
    <w:bookmarkEnd w:id="26"/>
    <w:bookmarkEnd w:id="27"/>
    <w:bookmarkStart w:id="31" w:name="procedure"/>
    <w:p>
      <w:pPr>
        <w:pStyle w:val="Heading2"/>
      </w:pPr>
      <w:r>
        <w:t xml:space="preserve">4. Procedure</w:t>
      </w:r>
    </w:p>
    <w:bookmarkStart w:id="28" w:name="preparation-phase"/>
    <w:p>
      <w:pPr>
        <w:pStyle w:val="Heading3"/>
      </w:pPr>
      <w:r>
        <w:t xml:space="preserve">4.1 Preparation Phase</w:t>
      </w:r>
    </w:p>
    <w:p>
      <w:pPr>
        <w:pStyle w:val="FirstParagraph"/>
      </w:pPr>
      <w:r>
        <w:t xml:space="preserve">During the preparation phase, the research team will:</w:t>
      </w:r>
    </w:p>
    <w:p>
      <w:pPr>
        <w:numPr>
          <w:ilvl w:val="0"/>
          <w:numId w:val="1005"/>
        </w:numPr>
        <w:pStyle w:val="Compact"/>
      </w:pPr>
      <w:r>
        <w:t xml:space="preserve">Recruit participants and obtain informed consent.</w:t>
      </w:r>
    </w:p>
    <w:p>
      <w:pPr>
        <w:numPr>
          <w:ilvl w:val="0"/>
          <w:numId w:val="1005"/>
        </w:numPr>
        <w:pStyle w:val="Compact"/>
      </w:pPr>
      <w:r>
        <w:t xml:space="preserve">Provide training on the use of the selected digital tools.</w:t>
      </w:r>
    </w:p>
    <w:p>
      <w:pPr>
        <w:numPr>
          <w:ilvl w:val="0"/>
          <w:numId w:val="1005"/>
        </w:numPr>
        <w:pStyle w:val="Compact"/>
      </w:pPr>
      <w:r>
        <w:t xml:space="preserve">Establish baseline metrics for the control and experimental groups.</w:t>
      </w:r>
    </w:p>
    <w:bookmarkEnd w:id="28"/>
    <w:bookmarkStart w:id="29" w:name="implementation-phase"/>
    <w:p>
      <w:pPr>
        <w:pStyle w:val="Heading3"/>
      </w:pPr>
      <w:r>
        <w:t xml:space="preserve">4.2 Implementation Phase</w:t>
      </w:r>
    </w:p>
    <w:p>
      <w:pPr>
        <w:pStyle w:val="FirstParagraph"/>
      </w:pPr>
      <w:r>
        <w:t xml:space="preserve">In the implementation phase, the experimental group will begin using the digital tools in their daily practice. The research team will:</w:t>
      </w:r>
    </w:p>
    <w:p>
      <w:pPr>
        <w:numPr>
          <w:ilvl w:val="0"/>
          <w:numId w:val="1006"/>
        </w:numPr>
        <w:pStyle w:val="Compact"/>
      </w:pPr>
      <w:r>
        <w:t xml:space="preserve">Monitor the usage of the tools and provide support as needed.</w:t>
      </w:r>
    </w:p>
    <w:p>
      <w:pPr>
        <w:numPr>
          <w:ilvl w:val="0"/>
          <w:numId w:val="1006"/>
        </w:numPr>
        <w:pStyle w:val="Compact"/>
      </w:pPr>
      <w:r>
        <w:t xml:space="preserve">Collect data on performance metrics and participant feedback.</w:t>
      </w:r>
    </w:p>
    <w:p>
      <w:pPr>
        <w:numPr>
          <w:ilvl w:val="0"/>
          <w:numId w:val="1006"/>
        </w:numPr>
        <w:pStyle w:val="Compact"/>
      </w:pPr>
      <w:r>
        <w:t xml:space="preserve">Conduct regular check-ins to address any issues or concerns.</w:t>
      </w:r>
    </w:p>
    <w:bookmarkEnd w:id="29"/>
    <w:bookmarkStart w:id="30" w:name="evaluation-phase"/>
    <w:p>
      <w:pPr>
        <w:pStyle w:val="Heading3"/>
      </w:pPr>
      <w:r>
        <w:t xml:space="preserve">4.3 Evaluation Phase</w:t>
      </w:r>
    </w:p>
    <w:p>
      <w:pPr>
        <w:pStyle w:val="FirstParagraph"/>
      </w:pPr>
      <w:r>
        <w:t xml:space="preserve">At the end of the six-month period, the research team will:</w:t>
      </w:r>
    </w:p>
    <w:p>
      <w:pPr>
        <w:numPr>
          <w:ilvl w:val="0"/>
          <w:numId w:val="1007"/>
        </w:numPr>
        <w:pStyle w:val="Compact"/>
      </w:pPr>
      <w:r>
        <w:t xml:space="preserve">Analyze the collected data to assess the impact of the digital tools.</w:t>
      </w:r>
    </w:p>
    <w:p>
      <w:pPr>
        <w:numPr>
          <w:ilvl w:val="0"/>
          <w:numId w:val="1007"/>
        </w:numPr>
        <w:pStyle w:val="Compact"/>
      </w:pPr>
      <w:r>
        <w:t xml:space="preserve">Compare the performance metrics of the control and experimental groups.</w:t>
      </w:r>
    </w:p>
    <w:p>
      <w:pPr>
        <w:numPr>
          <w:ilvl w:val="0"/>
          <w:numId w:val="1007"/>
        </w:numPr>
        <w:pStyle w:val="Compact"/>
      </w:pPr>
      <w:r>
        <w:t xml:space="preserve">Compile a comprehensive report with findings and recommendations.</w:t>
      </w:r>
    </w:p>
    <w:bookmarkEnd w:id="30"/>
    <w:bookmarkEnd w:id="31"/>
    <w:bookmarkStart w:id="32" w:name="ethical-considerations"/>
    <w:p>
      <w:pPr>
        <w:pStyle w:val="Heading2"/>
      </w:pPr>
      <w:r>
        <w:t xml:space="preserve">5. Ethical Considerations</w:t>
      </w:r>
    </w:p>
    <w:p>
      <w:pPr>
        <w:pStyle w:val="FirstParagraph"/>
      </w:pPr>
      <w:r>
        <w:t xml:space="preserve">This experiment will adhere to the highest ethical standards. Key considerations include:</w:t>
      </w:r>
    </w:p>
    <w:p>
      <w:pPr>
        <w:numPr>
          <w:ilvl w:val="0"/>
          <w:numId w:val="1008"/>
        </w:numPr>
        <w:pStyle w:val="Compact"/>
      </w:pPr>
      <w:r>
        <w:t xml:space="preserve">Obtaining informed consent from all participants.</w:t>
      </w:r>
    </w:p>
    <w:p>
      <w:pPr>
        <w:numPr>
          <w:ilvl w:val="0"/>
          <w:numId w:val="1008"/>
        </w:numPr>
        <w:pStyle w:val="Compact"/>
      </w:pPr>
      <w:r>
        <w:t xml:space="preserve">Ensuring the confidentiality and security of all data collected.</w:t>
      </w:r>
    </w:p>
    <w:p>
      <w:pPr>
        <w:numPr>
          <w:ilvl w:val="0"/>
          <w:numId w:val="1008"/>
        </w:numPr>
        <w:pStyle w:val="Compact"/>
      </w:pPr>
      <w:r>
        <w:t xml:space="preserve">Providing participants with the option to withdraw from the study at any time.</w:t>
      </w:r>
    </w:p>
    <w:p>
      <w:pPr>
        <w:numPr>
          <w:ilvl w:val="0"/>
          <w:numId w:val="1008"/>
        </w:numPr>
        <w:pStyle w:val="Compact"/>
      </w:pPr>
      <w:r>
        <w:t xml:space="preserve">Complying with all relevant laws and regulations in Thailand Bangkok.</w:t>
      </w:r>
    </w:p>
    <w:bookmarkEnd w:id="32"/>
    <w:bookmarkStart w:id="33" w:name="expected-outcomes"/>
    <w:p>
      <w:pPr>
        <w:pStyle w:val="Heading2"/>
      </w:pPr>
      <w:r>
        <w:t xml:space="preserve">6. Expected Outcomes</w:t>
      </w:r>
    </w:p>
    <w:p>
      <w:pPr>
        <w:pStyle w:val="FirstParagraph"/>
      </w:pPr>
      <w:r>
        <w:t xml:space="preserve">The expected outcomes of this experiment include:</w:t>
      </w:r>
    </w:p>
    <w:p>
      <w:pPr>
        <w:numPr>
          <w:ilvl w:val="0"/>
          <w:numId w:val="1009"/>
        </w:numPr>
        <w:pStyle w:val="Compact"/>
      </w:pPr>
      <w:r>
        <w:t xml:space="preserve">Improved efficiency and productivity for lawyers using the digital tools.</w:t>
      </w:r>
    </w:p>
    <w:p>
      <w:pPr>
        <w:numPr>
          <w:ilvl w:val="0"/>
          <w:numId w:val="1009"/>
        </w:numPr>
        <w:pStyle w:val="Compact"/>
      </w:pPr>
      <w:r>
        <w:t xml:space="preserve">Enhanced client satisfaction due to faster and more effective legal services.</w:t>
      </w:r>
    </w:p>
    <w:p>
      <w:pPr>
        <w:numPr>
          <w:ilvl w:val="0"/>
          <w:numId w:val="1009"/>
        </w:numPr>
        <w:pStyle w:val="Compact"/>
      </w:pPr>
      <w:r>
        <w:t xml:space="preserve">Identification of best practices for integrating technology into legal workflows in Thailand Bangkok.</w:t>
      </w:r>
    </w:p>
    <w:p>
      <w:pPr>
        <w:numPr>
          <w:ilvl w:val="0"/>
          <w:numId w:val="1009"/>
        </w:numPr>
        <w:pStyle w:val="Compact"/>
      </w:pPr>
      <w:r>
        <w:t xml:space="preserve">Valuable insights for policymakers and legal professionals on the future of legal practice in Thailand Bangkok.</w:t>
      </w:r>
    </w:p>
    <w:bookmarkEnd w:id="33"/>
    <w:bookmarkStart w:id="34" w:name="conclusion"/>
    <w:p>
      <w:pPr>
        <w:pStyle w:val="Heading2"/>
      </w:pPr>
      <w:r>
        <w:t xml:space="preserve">7. Conclusion</w:t>
      </w:r>
    </w:p>
    <w:p>
      <w:pPr>
        <w:pStyle w:val="FirstParagraph"/>
      </w:pPr>
      <w:r>
        <w:t xml:space="preserve">This Experiment Protocol provides a comprehensive framework for evaluating the impact of digital tools on the efficiency of lawyers in Thailand Bangkok. By following this structured approach, the research team aims to generate meaningful insights that can drive positive change in the legal profession. The findings of this experiment will contribute to the ongoing evolution of legal practice in Thailand Bangkok, ensuring that lawyers are equipped with the tools they need to serve their clients effectively in an increasingly digital world.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Service Efficiency in Thailand Bangkok</dc:title>
  <dc:creator/>
  <dc:language>en</dc:language>
  <cp:keywords/>
  <dcterms:created xsi:type="dcterms:W3CDTF">2026-10-10T06:27:07Z</dcterms:created>
  <dcterms:modified xsi:type="dcterms:W3CDTF">2026-10-10T06:27:07Z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