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Legal</w:t>
      </w:r>
      <w:r>
        <w:t xml:space="preserve"> </w:t>
      </w:r>
      <w:r>
        <w:t xml:space="preserve">Practice</w:t>
      </w:r>
      <w:r>
        <w:t xml:space="preserve"> </w:t>
      </w:r>
      <w:r>
        <w:t xml:space="preserve">Framework</w:t>
      </w:r>
      <w:r>
        <w:t xml:space="preserve"> </w:t>
      </w:r>
      <w:r>
        <w:t xml:space="preserve">in</w:t>
      </w:r>
      <w:r>
        <w:t xml:space="preserve"> </w:t>
      </w:r>
      <w:r>
        <w:t xml:space="preserve">Abu</w:t>
      </w:r>
      <w:r>
        <w:t xml:space="preserve"> </w:t>
      </w:r>
      <w:r>
        <w:t xml:space="preserve">Dhabi</w:t>
      </w:r>
    </w:p>
    <w:p>
      <w:pPr>
        <w:pStyle w:val="FirstParagraph"/>
      </w:pPr>
      <w:r>
        <w:rPr>
          <w:bCs/>
          <w:b/>
        </w:rPr>
        <w:t xml:space="preserve">Document Title:</w:t>
      </w:r>
      <w:r>
        <w:t xml:space="preserve"> </w:t>
      </w:r>
      <w:r>
        <w:t xml:space="preserve">Experiment Protocol: Evaluation of Legal Service Delivery Models</w:t>
      </w:r>
      <w:r>
        <w:br/>
      </w:r>
      <w:r>
        <w:rPr>
          <w:bCs/>
          <w:b/>
        </w:rPr>
        <w:t xml:space="preserve">Jurisdiction:</w:t>
      </w:r>
      <w:r>
        <w:t xml:space="preserve"> </w:t>
      </w:r>
      <w:r>
        <w:t xml:space="preserve">United Arab Emirates, Abu Dhabi</w:t>
      </w:r>
      <w:r>
        <w:br/>
      </w:r>
      <w:r>
        <w:rPr>
          <w:bCs/>
          <w:b/>
        </w:rPr>
        <w:t xml:space="preserve">Subject:</w:t>
      </w:r>
      <w:r>
        <w:t xml:space="preserve"> </w:t>
      </w:r>
      <w:r>
        <w:t xml:space="preserve">Lawyer Performance and Regulatory Compliance</w:t>
      </w:r>
      <w:r>
        <w:br/>
      </w:r>
      <w:r>
        <w:rPr>
          <w:bCs/>
          <w:b/>
        </w:rPr>
        <w:t xml:space="preserve">Date:</w:t>
      </w:r>
      <w:r>
        <w:t xml:space="preserve"> </w:t>
      </w:r>
      <w:r>
        <w:t xml:space="preserve">October 2023</w:t>
      </w:r>
      <w:r>
        <w:br/>
      </w:r>
      <w:r>
        <w:rPr>
          <w:bCs/>
          <w:b/>
        </w:rPr>
        <w:t xml:space="preserve">Classification:</w:t>
      </w:r>
      <w:r>
        <w:t xml:space="preserve"> </w:t>
      </w:r>
      <w:r>
        <w:t xml:space="preserve">Internal Research / Legal Compliance</w:t>
      </w:r>
    </w:p>
    <w:bookmarkStart w:id="30" w:name="Xfb8467d0fb3d282b55e0e6868e8de0762b729d9"/>
    <w:p>
      <w:pPr>
        <w:pStyle w:val="Heading1"/>
      </w:pPr>
      <w:r>
        <w:t xml:space="preserve">Experiment Protocol: Legal Practice Framework in Abu Dhabi</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operational efficiency, regulatory adherence, and client service standards of a Lawyer practicing within the jurisdiction of Abu Dhabi, United Arab Emirates. The legal landscape in Abu Dhabi is characterized by a unique dual system comprising Federal UAE laws and specific Abu Dhabi Emirate-level regulations, alongside the specialized frameworks of the Abu Dhabi Global Market (ADGM).</w:t>
      </w:r>
    </w:p>
    <w:p>
      <w:pPr>
        <w:pStyle w:val="BodyText"/>
      </w:pPr>
      <w:r>
        <w:t xml:space="preserve">The purpose of this experiment is to simulate real-world legal scenarios to evaluate how a Lawyer navigates the complexities of the Abu Dhabi judicial system. This includes interactions with the Abu Dhabi Courts, the Department of Justice, and relevant regulatory bodies such as the Abu Dhabi Judicial Department (ADJD). The protocol ensures that all activities remain strictly within the bounds of the UAE Federal Law No. 23 of 1991 regarding the Legal Profession and its subsequent amendments.</w:t>
      </w:r>
    </w:p>
    <w:bookmarkEnd w:id="20"/>
    <w:bookmarkStart w:id="21" w:name="objectives"/>
    <w:p>
      <w:pPr>
        <w:pStyle w:val="Heading2"/>
      </w:pPr>
      <w:r>
        <w:t xml:space="preserve">2. Objectives</w:t>
      </w:r>
    </w:p>
    <w:p>
      <w:pPr>
        <w:pStyle w:val="FirstParagraph"/>
      </w:pPr>
      <w:r>
        <w:t xml:space="preserve">The primary objectives of this Experiment Protocol are as follows:</w:t>
      </w:r>
    </w:p>
    <w:p>
      <w:pPr>
        <w:numPr>
          <w:ilvl w:val="0"/>
          <w:numId w:val="1001"/>
        </w:numPr>
        <w:pStyle w:val="Compact"/>
      </w:pPr>
      <w:r>
        <w:t xml:space="preserve">To evaluate the Lawyer's proficiency in interpreting and applying Abu Dhabi-specific civil and commercial codes.</w:t>
      </w:r>
    </w:p>
    <w:p>
      <w:pPr>
        <w:numPr>
          <w:ilvl w:val="0"/>
          <w:numId w:val="1001"/>
        </w:numPr>
        <w:pStyle w:val="Compact"/>
      </w:pPr>
      <w:r>
        <w:t xml:space="preserve">To assess the Lawyer's ability to maintain strict confidentiality and data privacy in accordance with UAE data protection regulations.</w:t>
      </w:r>
    </w:p>
    <w:p>
      <w:pPr>
        <w:numPr>
          <w:ilvl w:val="0"/>
          <w:numId w:val="1001"/>
        </w:numPr>
        <w:pStyle w:val="Compact"/>
      </w:pPr>
      <w:r>
        <w:t xml:space="preserve">To measure the efficiency of case management workflows within the Abu Dhabi legal infrastructure.</w:t>
      </w:r>
    </w:p>
    <w:p>
      <w:pPr>
        <w:numPr>
          <w:ilvl w:val="0"/>
          <w:numId w:val="1001"/>
        </w:numPr>
        <w:pStyle w:val="Compact"/>
      </w:pPr>
      <w:r>
        <w:t xml:space="preserve">To verify compliance with ethical standards mandated by the Abu Dhabi Bar Association.</w:t>
      </w:r>
    </w:p>
    <w:bookmarkEnd w:id="21"/>
    <w:bookmarkStart w:id="22" w:name="scope-and-jurisdictional-context"/>
    <w:p>
      <w:pPr>
        <w:pStyle w:val="Heading2"/>
      </w:pPr>
      <w:r>
        <w:t xml:space="preserve">3. Scope and Jurisdictional Context</w:t>
      </w:r>
    </w:p>
    <w:p>
      <w:pPr>
        <w:pStyle w:val="FirstParagraph"/>
      </w:pPr>
      <w:r>
        <w:t xml:space="preserve">This experiment is confined to the geographical and legal boundaries of Abu Dhabi, United Arab Emirates. It acknowledges the distinction between the Civil Law system prevalent in the mainland and the Common Law system operating within the ADGM. The Lawyer participating in this protocol must demonstrate competence in the relevant jurisdiction based on the case type assigned.</w:t>
      </w:r>
    </w:p>
    <w:p>
      <w:pPr>
        <w:pStyle w:val="BodyText"/>
      </w:pPr>
      <w:r>
        <w:t xml:space="preserve">The scope includes civil litigation, commercial arbitration, and corporate advisory services. Criminal law matters are excluded from this specific protocol due to the heightened sensitivity and procedural rigidity associated with criminal investigations in the UAE.</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The Lawyer selected for this experiment must hold a valid practicing license issued by the Abu Dhabi Judicial Department or the ADGM Financial Services Regulatory Authority (FSRA), depending on the practice area. The participant must have a minimum of three years of experience practicing law in the United Arab Emirates.</w:t>
      </w:r>
    </w:p>
    <w:bookmarkEnd w:id="23"/>
    <w:bookmarkStart w:id="24" w:name="experimental-design"/>
    <w:p>
      <w:pPr>
        <w:pStyle w:val="Heading3"/>
      </w:pPr>
      <w:r>
        <w:t xml:space="preserve">4.2. Experimental Design</w:t>
      </w:r>
    </w:p>
    <w:p>
      <w:pPr>
        <w:pStyle w:val="FirstParagraph"/>
      </w:pPr>
      <w:r>
        <w:t xml:space="preserve">The experiment will utilize a controlled case simulation approach. The Lawyer will be presented with hypothetical but legally accurate case files that mirror common disputes in Abu Dhabi. These cases will involve:</w:t>
      </w:r>
    </w:p>
    <w:p>
      <w:pPr>
        <w:numPr>
          <w:ilvl w:val="0"/>
          <w:numId w:val="1002"/>
        </w:numPr>
        <w:pStyle w:val="Compact"/>
      </w:pPr>
      <w:r>
        <w:t xml:space="preserve">Commercial contract disputes under the UAE Civil Code.</w:t>
      </w:r>
    </w:p>
    <w:p>
      <w:pPr>
        <w:numPr>
          <w:ilvl w:val="0"/>
          <w:numId w:val="1002"/>
        </w:numPr>
        <w:pStyle w:val="Compact"/>
      </w:pPr>
      <w:r>
        <w:t xml:space="preserve">Employment law issues governed by Federal Decree-Law No. 33 of 2021.</w:t>
      </w:r>
    </w:p>
    <w:p>
      <w:pPr>
        <w:numPr>
          <w:ilvl w:val="0"/>
          <w:numId w:val="1002"/>
        </w:numPr>
        <w:pStyle w:val="Compact"/>
      </w:pPr>
      <w:r>
        <w:t xml:space="preserve">Real estate transactions regulated by the Abu Dhabi Department of Municipalities and Transport.</w:t>
      </w:r>
    </w:p>
    <w:bookmarkEnd w:id="24"/>
    <w:bookmarkStart w:id="25" w:name="procedure"/>
    <w:p>
      <w:pPr>
        <w:pStyle w:val="Heading3"/>
      </w:pPr>
      <w:r>
        <w:t xml:space="preserve">4.3. Procedure</w:t>
      </w:r>
    </w:p>
    <w:p>
      <w:pPr>
        <w:pStyle w:val="FirstParagraph"/>
      </w:pPr>
      <w:r>
        <w:t xml:space="preserve">The procedure involves three distinct phases:</w:t>
      </w:r>
    </w:p>
    <w:p>
      <w:pPr>
        <w:numPr>
          <w:ilvl w:val="0"/>
          <w:numId w:val="1003"/>
        </w:numPr>
        <w:pStyle w:val="Compact"/>
      </w:pPr>
      <w:r>
        <w:rPr>
          <w:bCs/>
          <w:b/>
        </w:rPr>
        <w:t xml:space="preserve">Case Analysis:</w:t>
      </w:r>
      <w:r>
        <w:t xml:space="preserve"> </w:t>
      </w:r>
      <w:r>
        <w:t xml:space="preserve">The Lawyer reviews the provided documentation and identifies key legal issues, applicable statutes, and potential risks.</w:t>
      </w:r>
    </w:p>
    <w:p>
      <w:pPr>
        <w:numPr>
          <w:ilvl w:val="0"/>
          <w:numId w:val="1003"/>
        </w:numPr>
        <w:pStyle w:val="Compact"/>
      </w:pPr>
      <w:r>
        <w:rPr>
          <w:bCs/>
          <w:b/>
        </w:rPr>
        <w:t xml:space="preserve">Strategy Formulation:</w:t>
      </w:r>
      <w:r>
        <w:t xml:space="preserve"> </w:t>
      </w:r>
      <w:r>
        <w:t xml:space="preserve">The Lawyer develops a legal strategy, including drafting necessary pleadings, memos, or advisory opinions.</w:t>
      </w:r>
    </w:p>
    <w:p>
      <w:pPr>
        <w:numPr>
          <w:ilvl w:val="0"/>
          <w:numId w:val="1003"/>
        </w:numPr>
        <w:pStyle w:val="Compact"/>
      </w:pPr>
      <w:r>
        <w:rPr>
          <w:bCs/>
          <w:b/>
        </w:rPr>
        <w:t xml:space="preserve">Simulation:</w:t>
      </w:r>
      <w:r>
        <w:t xml:space="preserve"> </w:t>
      </w:r>
      <w:r>
        <w:t xml:space="preserve">The Lawyer participates in a mock hearing or negotiation session, simulating interaction with Abu Dhabi court officials or opposing counsel.</w:t>
      </w:r>
    </w:p>
    <w:bookmarkEnd w:id="25"/>
    <w:bookmarkEnd w:id="26"/>
    <w:bookmarkStart w:id="27" w:name="ethical-considerations-and-compliance"/>
    <w:p>
      <w:pPr>
        <w:pStyle w:val="Heading2"/>
      </w:pPr>
      <w:r>
        <w:t xml:space="preserve">5. Ethical Considerations and Compliance</w:t>
      </w:r>
    </w:p>
    <w:p>
      <w:pPr>
        <w:pStyle w:val="FirstParagraph"/>
      </w:pPr>
      <w:r>
        <w:t xml:space="preserve">Adherence to ethical standards is paramount in this Experiment Protocol. The Lawyer must strictly observe the Code of Professional Conduct for Lawyers in the UAE. Key considerations include:</w:t>
      </w:r>
    </w:p>
    <w:p>
      <w:pPr>
        <w:numPr>
          <w:ilvl w:val="0"/>
          <w:numId w:val="1004"/>
        </w:numPr>
        <w:pStyle w:val="Compact"/>
      </w:pPr>
      <w:r>
        <w:rPr>
          <w:bCs/>
          <w:b/>
        </w:rPr>
        <w:t xml:space="preserve">Confidentiality:</w:t>
      </w:r>
      <w:r>
        <w:t xml:space="preserve"> </w:t>
      </w:r>
      <w:r>
        <w:t xml:space="preserve">All case data used in the experiment must be anonymized to protect client privacy. No real client information shall be used without explicit consent and redaction.</w:t>
      </w:r>
    </w:p>
    <w:p>
      <w:pPr>
        <w:numPr>
          <w:ilvl w:val="0"/>
          <w:numId w:val="1004"/>
        </w:numPr>
        <w:pStyle w:val="Compact"/>
      </w:pPr>
      <w:r>
        <w:rPr>
          <w:bCs/>
          <w:b/>
        </w:rPr>
        <w:t xml:space="preserve">Conflict of Interest:</w:t>
      </w:r>
      <w:r>
        <w:t xml:space="preserve"> </w:t>
      </w:r>
      <w:r>
        <w:t xml:space="preserve">The Lawyer must declare any potential conflicts of interest prior to the commencement of the experiment.</w:t>
      </w:r>
    </w:p>
    <w:p>
      <w:pPr>
        <w:numPr>
          <w:ilvl w:val="0"/>
          <w:numId w:val="1004"/>
        </w:numPr>
        <w:pStyle w:val="Compact"/>
      </w:pPr>
      <w:r>
        <w:rPr>
          <w:bCs/>
          <w:b/>
        </w:rPr>
        <w:t xml:space="preserve">Regulatory Compliance:</w:t>
      </w:r>
      <w:r>
        <w:t xml:space="preserve"> </w:t>
      </w:r>
      <w:r>
        <w:t xml:space="preserve">All actions must comply with the regulations set forth by the Abu Dhabi Judicial Department and the UAE Ministry of Justice.</w:t>
      </w:r>
    </w:p>
    <w:p>
      <w:pPr>
        <w:pStyle w:val="FirstParagraph"/>
      </w:pPr>
      <w:r>
        <w:t xml:space="preserve">Note: Any deviation from ethical standards will result in immediate termination of the Lawyer's participation in the experiment.</w:t>
      </w:r>
    </w:p>
    <w:bookmarkEnd w:id="27"/>
    <w:bookmarkStart w:id="28" w:name="data-collection-and-analysis"/>
    <w:p>
      <w:pPr>
        <w:pStyle w:val="Heading2"/>
      </w:pPr>
      <w:r>
        <w:t xml:space="preserve">6. Data Collection and Analysis</w:t>
      </w:r>
    </w:p>
    <w:p>
      <w:pPr>
        <w:pStyle w:val="FirstParagraph"/>
      </w:pPr>
      <w:r>
        <w:t xml:space="preserve">Data will be collected through structured observation, document review, and feedback from independent legal experts. The following metrics will be evaluated:</w:t>
      </w:r>
    </w:p>
    <w:p>
      <w:pPr>
        <w:numPr>
          <w:ilvl w:val="0"/>
          <w:numId w:val="1005"/>
        </w:numPr>
        <w:pStyle w:val="Compact"/>
      </w:pPr>
      <w:r>
        <w:rPr>
          <w:bCs/>
          <w:b/>
        </w:rPr>
        <w:t xml:space="preserve">Accuracy:</w:t>
      </w:r>
      <w:r>
        <w:t xml:space="preserve"> </w:t>
      </w:r>
      <w:r>
        <w:t xml:space="preserve">Correct application of Abu Dhabi and UAE federal laws.</w:t>
      </w:r>
    </w:p>
    <w:p>
      <w:pPr>
        <w:numPr>
          <w:ilvl w:val="0"/>
          <w:numId w:val="1005"/>
        </w:numPr>
        <w:pStyle w:val="Compact"/>
      </w:pPr>
      <w:r>
        <w:rPr>
          <w:bCs/>
          <w:b/>
        </w:rPr>
        <w:t xml:space="preserve">Efficiency:</w:t>
      </w:r>
      <w:r>
        <w:t xml:space="preserve"> </w:t>
      </w:r>
      <w:r>
        <w:t xml:space="preserve">Time taken to complete tasks and meet deadlines.</w:t>
      </w:r>
    </w:p>
    <w:p>
      <w:pPr>
        <w:numPr>
          <w:ilvl w:val="0"/>
          <w:numId w:val="1005"/>
        </w:numPr>
        <w:pStyle w:val="Compact"/>
      </w:pPr>
      <w:r>
        <w:rPr>
          <w:bCs/>
          <w:b/>
        </w:rPr>
        <w:t xml:space="preserve">Communication:</w:t>
      </w:r>
      <w:r>
        <w:t xml:space="preserve"> </w:t>
      </w:r>
      <w:r>
        <w:t xml:space="preserve">Clarity and professionalism in written and oral communications.</w:t>
      </w:r>
    </w:p>
    <w:p>
      <w:pPr>
        <w:numPr>
          <w:ilvl w:val="0"/>
          <w:numId w:val="1005"/>
        </w:numPr>
        <w:pStyle w:val="Compact"/>
      </w:pPr>
      <w:r>
        <w:rPr>
          <w:bCs/>
          <w:b/>
        </w:rPr>
        <w:t xml:space="preserve">Compliance:</w:t>
      </w:r>
      <w:r>
        <w:t xml:space="preserve"> </w:t>
      </w:r>
      <w:r>
        <w:t xml:space="preserve">Adherence to procedural rules and ethical guidelines.</w:t>
      </w:r>
    </w:p>
    <w:p>
      <w:pPr>
        <w:pStyle w:val="FirstParagraph"/>
      </w:pPr>
      <w:r>
        <w:t xml:space="preserve">The analysis will be conducted by a panel of senior legal practitioners familiar with the Abu Dhabi legal environment. The results will be used to provide constructive feedback to the Lawyer and to improve legal service delivery models in the region.</w:t>
      </w:r>
    </w:p>
    <w:bookmarkEnd w:id="28"/>
    <w:bookmarkStart w:id="29" w:name="conclusion"/>
    <w:p>
      <w:pPr>
        <w:pStyle w:val="Heading2"/>
      </w:pPr>
      <w:r>
        <w:t xml:space="preserve">7. Conclusion</w:t>
      </w:r>
    </w:p>
    <w:p>
      <w:pPr>
        <w:pStyle w:val="FirstParagraph"/>
      </w:pPr>
      <w:r>
        <w:t xml:space="preserve">This Experiment Protocol provides a robust framework for evaluating the capabilities of a Lawyer in Abu Dhabi, United Arab Emirates. By simulating real-world legal challenges within the specific regulatory context of Abu Dhabi, this protocol ensures that legal professionals are well-equipped to serve clients effectively and ethically. The insights gained from this experiment will contribute to the ongoing development of high-quality legal services in the UAE.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Legal Practice Framework in Abu Dhabi</dc:title>
  <dc:creator/>
  <dc:language>en</dc:language>
  <cp:keywords/>
  <dcterms:created xsi:type="dcterms:W3CDTF">2026-10-10T03:11:35Z</dcterms:created>
  <dcterms:modified xsi:type="dcterms:W3CDTF">2026-10-10T03:11:35Z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