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Practitioner</w:t>
      </w:r>
      <w:r>
        <w:t xml:space="preserve"> </w:t>
      </w:r>
      <w:r>
        <w:t xml:space="preserve">Performance</w:t>
      </w:r>
      <w:r>
        <w:t xml:space="preserve"> </w:t>
      </w:r>
      <w:r>
        <w:t xml:space="preserve">in</w:t>
      </w:r>
      <w:r>
        <w:t xml:space="preserve"> </w:t>
      </w:r>
      <w:r>
        <w:t xml:space="preserve">Dubai</w:t>
      </w:r>
    </w:p>
    <w:bookmarkStart w:id="20" w:name="Xda3267484b5f76ca3b8cf7e9b682d93a136af20"/>
    <w:p>
      <w:pPr>
        <w:pStyle w:val="Heading1"/>
      </w:pPr>
      <w:r>
        <w:t xml:space="preserve">Experiment Protocol: Evaluation of Legal Practitioner Efficacy in United Arab Emirates Dubai</w:t>
      </w:r>
    </w:p>
    <w:p>
      <w:pPr>
        <w:pStyle w:val="FirstParagraph"/>
      </w:pPr>
      <w:r>
        <w:rPr>
          <w:bCs/>
          <w:b/>
        </w:rPr>
        <w:t xml:space="preserve">Protocol ID:</w:t>
      </w:r>
      <w:r>
        <w:t xml:space="preserve"> </w:t>
      </w:r>
      <w:r>
        <w:t xml:space="preserve">UAE-DXB-LEGAL-EXP-2024-001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Dubai Courts and DIFC Courts, United Arab Emirates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compliance, and strategic efficacy of a Lawyer operating within the jurisdiction of United Arab Emirates Dubai. The legal landscape in Dubai is unique, characterized by a dual system comprising the federal civil law framework and the common law system within the Dubai International Financial Centre (DIFC). This experiment aims to quantify how effectively a legal practitioner navigates these complex regulatory environments, adheres to the Code of Professional Conduct for Advocates, and delivers measurable outcomes for clients.</w:t>
      </w:r>
    </w:p>
    <w:p>
      <w:pPr>
        <w:pStyle w:val="BodyText"/>
      </w:pPr>
      <w:r>
        <w:t xml:space="preserve">The study is designed to provide empirical data on the operational capabilities of legal professionals in Dubai, focusing on case management, regulatory compliance, and client communication standards.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accuracy and timeliness of legal advice provided by the Lawyer in accordance with UAE Federal Laws and Dubai Local Regulations.</w:t>
      </w:r>
    </w:p>
    <w:p>
      <w:pPr>
        <w:numPr>
          <w:ilvl w:val="0"/>
          <w:numId w:val="1001"/>
        </w:numPr>
        <w:pStyle w:val="Compact"/>
      </w:pPr>
      <w:r>
        <w:t xml:space="preserve">To assess the Lawyer's proficiency in navigating the specific procedural requirements of the Dubai Courts and the DIFC Courts.</w:t>
      </w:r>
    </w:p>
    <w:p>
      <w:pPr>
        <w:numPr>
          <w:ilvl w:val="0"/>
          <w:numId w:val="1001"/>
        </w:numPr>
        <w:pStyle w:val="Compact"/>
      </w:pPr>
      <w:r>
        <w:t xml:space="preserve">To measure compliance with ethical standards set by the Dubai Department of Economic Development (DED) and the DIFC Legal Services Board.</w:t>
      </w:r>
    </w:p>
    <w:p>
      <w:pPr>
        <w:numPr>
          <w:ilvl w:val="0"/>
          <w:numId w:val="1001"/>
        </w:numPr>
        <w:pStyle w:val="Compact"/>
      </w:pPr>
      <w:r>
        <w:t xml:space="preserve">To analyze the efficiency of case resolution strategies employed by the Lawyer in commercial and civil disputes.</w:t>
      </w:r>
    </w:p>
    <w:bookmarkEnd w:id="22"/>
    <w:bookmarkStart w:id="23" w:name="scope-and-jurisdiction"/>
    <w:p>
      <w:pPr>
        <w:pStyle w:val="Heading2"/>
      </w:pPr>
      <w:r>
        <w:t xml:space="preserve">3. Scope and Jurisdiction</w:t>
      </w:r>
    </w:p>
    <w:p>
      <w:pPr>
        <w:pStyle w:val="FirstParagraph"/>
      </w:pPr>
      <w:r>
        <w:t xml:space="preserve">This protocol applies exclusively to legal activities conducted within the Emirate of Dubai, United Arab Emirates. The scope includes:</w:t>
      </w:r>
    </w:p>
    <w:p>
      <w:pPr>
        <w:numPr>
          <w:ilvl w:val="0"/>
          <w:numId w:val="1002"/>
        </w:numPr>
        <w:pStyle w:val="Compact"/>
      </w:pPr>
      <w:r>
        <w:rPr>
          <w:bCs/>
          <w:b/>
        </w:rPr>
        <w:t xml:space="preserve">Mainland Dubai:</w:t>
      </w:r>
      <w:r>
        <w:t xml:space="preserve"> </w:t>
      </w:r>
      <w:r>
        <w:t xml:space="preserve">Cases governed by UAE Civil Code, Commercial Transactions Law, and Labor Law.</w:t>
      </w:r>
    </w:p>
    <w:p>
      <w:pPr>
        <w:numPr>
          <w:ilvl w:val="0"/>
          <w:numId w:val="1002"/>
        </w:numPr>
        <w:pStyle w:val="Compact"/>
      </w:pPr>
      <w:r>
        <w:rPr>
          <w:bCs/>
          <w:b/>
        </w:rPr>
        <w:t xml:space="preserve">DIFC:</w:t>
      </w:r>
      <w:r>
        <w:t xml:space="preserve"> </w:t>
      </w:r>
      <w:r>
        <w:t xml:space="preserve">Cases governed by DIFC Common Law and specific financial regulations.</w:t>
      </w:r>
    </w:p>
    <w:p>
      <w:pPr>
        <w:pStyle w:val="FirstParagraph"/>
      </w:pPr>
      <w:r>
        <w:t xml:space="preserve">The experiment will not cover federal criminal matters outside of Dubai's jurisdiction or family law cases involving non-Muslims unless specifically adjudicated in Dubai courts.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subject of this experiment is a qualified Lawyer licensed to practice in Dubai. The participant must hold a valid license from either the Dubai Courts or the DIFC Courts. The Lawyer will be selected based on a minimum of five years of experience in commercial litigation or corporate advisory within the United Arab Emirates.</w:t>
      </w:r>
    </w:p>
    <w:bookmarkEnd w:id="24"/>
    <w:bookmarkStart w:id="25" w:name="experimental-design"/>
    <w:p>
      <w:pPr>
        <w:pStyle w:val="Heading3"/>
      </w:pPr>
      <w:r>
        <w:t xml:space="preserve">4.2. Experimental Design</w:t>
      </w:r>
    </w:p>
    <w:p>
      <w:pPr>
        <w:pStyle w:val="FirstParagraph"/>
      </w:pPr>
      <w:r>
        <w:t xml:space="preserve">The experiment will utilize a mixed-methods approach, combining quantitative metrics with qualitative assessments. The study period will span six months. The Lawyer will be assigned a controlled set of simulated and real-world case scenarios, anonymized for confidentiality.</w:t>
      </w:r>
    </w:p>
    <w:bookmarkEnd w:id="25"/>
    <w:bookmarkStart w:id="26" w:name="data-collection-procedures"/>
    <w:p>
      <w:pPr>
        <w:pStyle w:val="Heading3"/>
      </w:pPr>
      <w:r>
        <w:t xml:space="preserve">4.3. Data Collection Procedures</w:t>
      </w:r>
    </w:p>
    <w:p>
      <w:pPr>
        <w:pStyle w:val="FirstParagraph"/>
      </w:pPr>
      <w:r>
        <w:t xml:space="preserve">Data will be collected through the following mechanisms:</w:t>
      </w:r>
    </w:p>
    <w:p>
      <w:pPr>
        <w:numPr>
          <w:ilvl w:val="0"/>
          <w:numId w:val="1003"/>
        </w:numPr>
        <w:pStyle w:val="Compact"/>
      </w:pPr>
      <w:r>
        <w:rPr>
          <w:bCs/>
          <w:b/>
        </w:rPr>
        <w:t xml:space="preserve">Case File Audits:</w:t>
      </w:r>
      <w:r>
        <w:t xml:space="preserve"> </w:t>
      </w:r>
      <w:r>
        <w:t xml:space="preserve">Random sampling of case files to verify documentation accuracy, filing deadlines, and adherence to procedural rules.</w:t>
      </w:r>
    </w:p>
    <w:p>
      <w:pPr>
        <w:numPr>
          <w:ilvl w:val="0"/>
          <w:numId w:val="1003"/>
        </w:numPr>
        <w:pStyle w:val="Compact"/>
      </w:pPr>
      <w:r>
        <w:rPr>
          <w:bCs/>
          <w:b/>
        </w:rPr>
        <w:t xml:space="preserve">Client Feedback Surveys:</w:t>
      </w:r>
      <w:r>
        <w:t xml:space="preserve"> </w:t>
      </w:r>
      <w:r>
        <w:t xml:space="preserve">Structured questionnaires distributed to clients to assess communication clarity, responsiveness, and satisfaction levels.</w:t>
      </w:r>
    </w:p>
    <w:p>
      <w:pPr>
        <w:numPr>
          <w:ilvl w:val="0"/>
          <w:numId w:val="1003"/>
        </w:numPr>
        <w:pStyle w:val="Compact"/>
      </w:pPr>
      <w:r>
        <w:rPr>
          <w:bCs/>
          <w:b/>
        </w:rPr>
        <w:t xml:space="preserve">Peer Review:</w:t>
      </w:r>
      <w:r>
        <w:t xml:space="preserve"> </w:t>
      </w:r>
      <w:r>
        <w:t xml:space="preserve">Evaluation by senior legal practitioners in Dubai to assess the quality of legal arguments and strategic planning.</w:t>
      </w:r>
    </w:p>
    <w:p>
      <w:pPr>
        <w:numPr>
          <w:ilvl w:val="0"/>
          <w:numId w:val="1003"/>
        </w:numPr>
        <w:pStyle w:val="Compact"/>
      </w:pPr>
      <w:r>
        <w:rPr>
          <w:bCs/>
          <w:b/>
        </w:rPr>
        <w:t xml:space="preserve">Regulatory Compliance Checks:</w:t>
      </w:r>
      <w:r>
        <w:t xml:space="preserve"> </w:t>
      </w:r>
      <w:r>
        <w:t xml:space="preserve">Verification of the Lawyer's adherence to anti-money laundering (AML) regulations and professional conduct codes.</w:t>
      </w:r>
    </w:p>
    <w:bookmarkEnd w:id="26"/>
    <w:bookmarkEnd w:id="27"/>
    <w:bookmarkStart w:id="28" w:name="key-performance-indicators-kpis"/>
    <w:p>
      <w:pPr>
        <w:pStyle w:val="Heading2"/>
      </w:pPr>
      <w:r>
        <w:t xml:space="preserve">5. Key Performance Indicators (KPIs)</w:t>
      </w:r>
    </w:p>
    <w:p>
      <w:pPr>
        <w:pStyle w:val="FirstParagraph"/>
      </w:pPr>
      <w:r>
        <w:t xml:space="preserve">The following KPIs will be used to measure the Lawyer's performance:</w:t>
      </w:r>
    </w:p>
    <w:p>
      <w:pPr>
        <w:numPr>
          <w:ilvl w:val="0"/>
          <w:numId w:val="1004"/>
        </w:numPr>
        <w:pStyle w:val="Compact"/>
      </w:pPr>
      <w:r>
        <w:rPr>
          <w:bCs/>
          <w:b/>
        </w:rPr>
        <w:t xml:space="preserve">Timeliness:</w:t>
      </w:r>
      <w:r>
        <w:t xml:space="preserve"> </w:t>
      </w:r>
      <w:r>
        <w:t xml:space="preserve">Percentage of filings and responses submitted within statutory deadlines.</w:t>
      </w:r>
    </w:p>
    <w:p>
      <w:pPr>
        <w:numPr>
          <w:ilvl w:val="0"/>
          <w:numId w:val="1004"/>
        </w:numPr>
        <w:pStyle w:val="Compact"/>
      </w:pPr>
      <w:r>
        <w:rPr>
          <w:bCs/>
          <w:b/>
        </w:rPr>
        <w:t xml:space="preserve">Accuracy:</w:t>
      </w:r>
      <w:r>
        <w:t xml:space="preserve"> </w:t>
      </w:r>
      <w:r>
        <w:t xml:space="preserve">Rate of errors in legal documents or advice, as determined by peer review.</w:t>
      </w:r>
    </w:p>
    <w:p>
      <w:pPr>
        <w:numPr>
          <w:ilvl w:val="0"/>
          <w:numId w:val="1004"/>
        </w:numPr>
        <w:pStyle w:val="Compact"/>
      </w:pPr>
      <w:r>
        <w:rPr>
          <w:bCs/>
          <w:b/>
        </w:rPr>
        <w:t xml:space="preserve">Compliance:</w:t>
      </w:r>
      <w:r>
        <w:t xml:space="preserve"> </w:t>
      </w:r>
      <w:r>
        <w:t xml:space="preserve">Number of regulatory breaches or ethical violations recorded during the experiment period.</w:t>
      </w:r>
    </w:p>
    <w:p>
      <w:pPr>
        <w:numPr>
          <w:ilvl w:val="0"/>
          <w:numId w:val="1004"/>
        </w:numPr>
        <w:pStyle w:val="Compact"/>
      </w:pPr>
      <w:r>
        <w:rPr>
          <w:bCs/>
          <w:b/>
        </w:rPr>
        <w:t xml:space="preserve">Client Satisfaction:</w:t>
      </w:r>
      <w:r>
        <w:t xml:space="preserve"> </w:t>
      </w:r>
      <w:r>
        <w:t xml:space="preserve">Average score from client feedback surveys on a scale of 1 to 10.</w:t>
      </w:r>
    </w:p>
    <w:p>
      <w:pPr>
        <w:numPr>
          <w:ilvl w:val="0"/>
          <w:numId w:val="1004"/>
        </w:numPr>
        <w:pStyle w:val="Compact"/>
      </w:pPr>
      <w:r>
        <w:rPr>
          <w:bCs/>
          <w:b/>
        </w:rPr>
        <w:t xml:space="preserve">Resolution Efficiency:</w:t>
      </w:r>
      <w:r>
        <w:t xml:space="preserve"> </w:t>
      </w:r>
      <w:r>
        <w:t xml:space="preserve">Average time taken to resolve cases compared to the Dubai Courts' average resolution time.</w:t>
      </w:r>
    </w:p>
    <w:bookmarkEnd w:id="28"/>
    <w:bookmarkStart w:id="29" w:name="X53d39ee4fcae7b306cd54c98b15b474cb83728c"/>
    <w:p>
      <w:pPr>
        <w:pStyle w:val="Heading2"/>
      </w:pPr>
      <w:r>
        <w:t xml:space="preserve">6. Ethical Considerations and Confidentiality</w:t>
      </w:r>
    </w:p>
    <w:p>
      <w:pPr>
        <w:pStyle w:val="FirstParagraph"/>
      </w:pPr>
      <w:r>
        <w:t xml:space="preserve">Given the sensitive nature of legal work, this experiment strictly adheres to the confidentiality requirements of the United Arab Emirates. All client data will be anonymized in accordance with UAE data protection laws. The Lawyer's participation is voluntary, and informed consent will be obtained prior to the commencement of the study. The protocol ensures that no privileged information is disclosed without explicit authorization.</w:t>
      </w:r>
    </w:p>
    <w:bookmarkEnd w:id="29"/>
    <w:bookmarkStart w:id="30" w:name="risk-management"/>
    <w:p>
      <w:pPr>
        <w:pStyle w:val="Heading2"/>
      </w:pPr>
      <w:r>
        <w:t xml:space="preserve">7. Risk Management</w:t>
      </w:r>
    </w:p>
    <w:p>
      <w:pPr>
        <w:pStyle w:val="FirstParagraph"/>
      </w:pPr>
      <w:r>
        <w:t xml:space="preserve">Potential risks include:</w:t>
      </w:r>
    </w:p>
    <w:p>
      <w:pPr>
        <w:numPr>
          <w:ilvl w:val="0"/>
          <w:numId w:val="1005"/>
        </w:numPr>
        <w:pStyle w:val="Compact"/>
      </w:pPr>
      <w:r>
        <w:rPr>
          <w:bCs/>
          <w:b/>
        </w:rPr>
        <w:t xml:space="preserve">Confidentiality Breach:</w:t>
      </w:r>
      <w:r>
        <w:t xml:space="preserve"> </w:t>
      </w:r>
      <w:r>
        <w:t xml:space="preserve">Mitigated through strict data anonymization protocols.</w:t>
      </w:r>
    </w:p>
    <w:p>
      <w:pPr>
        <w:numPr>
          <w:ilvl w:val="0"/>
          <w:numId w:val="1005"/>
        </w:numPr>
        <w:pStyle w:val="Compact"/>
      </w:pPr>
      <w:r>
        <w:rPr>
          <w:bCs/>
          <w:b/>
        </w:rPr>
        <w:t xml:space="preserve">Regulatory Non-Compliance:</w:t>
      </w:r>
      <w:r>
        <w:t xml:space="preserve"> </w:t>
      </w:r>
      <w:r>
        <w:t xml:space="preserve">Mitigated by continuous monitoring and immediate corrective actions.</w:t>
      </w:r>
    </w:p>
    <w:p>
      <w:pPr>
        <w:numPr>
          <w:ilvl w:val="0"/>
          <w:numId w:val="1005"/>
        </w:numPr>
        <w:pStyle w:val="Compact"/>
      </w:pPr>
      <w:r>
        <w:rPr>
          <w:bCs/>
          <w:b/>
        </w:rPr>
        <w:t xml:space="preserve">Client Impact:</w:t>
      </w:r>
      <w:r>
        <w:t xml:space="preserve"> </w:t>
      </w:r>
      <w:r>
        <w:t xml:space="preserve">Mitigated by ensuring that experimental procedures do not interfere with the Lawyer's duty to provide competent representation.</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performance of a Lawyer in the dynamic legal environment of United Arab Emirates Dubai. By focusing on compliance, efficiency, and client satisfaction, the study aims to contribute valuable insights into the standards of legal practice in the region. The findings will be used to enhance professional development programs and improve the overall quality of legal services in Dubai.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Practitioner Performance in Dubai</dc:title>
  <dc:creator/>
  <dc:language>en</dc:language>
  <cp:keywords/>
  <dcterms:created xsi:type="dcterms:W3CDTF">2026-10-10T07:32:15Z</dcterms:created>
  <dcterms:modified xsi:type="dcterms:W3CDTF">2026-10-10T07:32:15Z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