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Professional</w:t>
      </w:r>
      <w:r>
        <w:t xml:space="preserve"> </w:t>
      </w:r>
      <w:r>
        <w:t xml:space="preserve">Competency</w:t>
      </w:r>
      <w:r>
        <w:t xml:space="preserve"> </w:t>
      </w:r>
      <w:r>
        <w:t xml:space="preserve">Assessment</w:t>
      </w:r>
    </w:p>
    <w:bookmarkStart w:id="34" w:name="X007095fadb54ca94be9006afe9011ed49832df0"/>
    <w:p>
      <w:pPr>
        <w:pStyle w:val="Heading1"/>
      </w:pPr>
      <w:r>
        <w:t xml:space="preserve">Experiment Protocol: Cognitive Load and Decision-Making in Legal Practice</w:t>
      </w:r>
    </w:p>
    <w:p>
      <w:pPr>
        <w:pStyle w:val="FirstParagraph"/>
      </w:pPr>
      <w:r>
        <w:rPr>
          <w:bCs/>
          <w:b/>
        </w:rPr>
        <w:t xml:space="preserve">Protocol ID:</w:t>
      </w:r>
      <w:r>
        <w:t xml:space="preserve"> </w:t>
      </w:r>
      <w:r>
        <w:t xml:space="preserve">UK-LON-LEG-2023-04</w:t>
      </w:r>
    </w:p>
    <w:p>
      <w:pPr>
        <w:pStyle w:val="BodyText"/>
      </w:pPr>
      <w:r>
        <w:rPr>
          <w:bCs/>
          <w:b/>
        </w:rPr>
        <w:t xml:space="preserve">Location:</w:t>
      </w:r>
      <w:r>
        <w:t xml:space="preserve"> </w:t>
      </w:r>
      <w:r>
        <w:t xml:space="preserve">United Kingdom London (Greater London Area)</w:t>
      </w:r>
    </w:p>
    <w:p>
      <w:pPr>
        <w:pStyle w:val="BodyText"/>
      </w:pPr>
      <w:r>
        <w:rPr>
          <w:bCs/>
          <w:b/>
        </w:rPr>
        <w:t xml:space="preserve">Subject Focus:</w:t>
      </w:r>
      <w:r>
        <w:t xml:space="preserve"> </w:t>
      </w:r>
      <w:r>
        <w:t xml:space="preserve">Lawyer (Solicitor and Barrister)</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legal profession in the United Kingdom is characterised by high-stakes decision-making, complex regulatory frameworks, and significant cognitive demands. This Experiment Protocol outlines a structured study designed to evaluate the impact of digital case management tools on the cognitive load and accuracy of a Lawyer practising within the jurisdiction of United Kingdom London.</w:t>
      </w:r>
    </w:p>
    <w:p>
      <w:pPr>
        <w:pStyle w:val="BodyText"/>
      </w:pPr>
      <w:r>
        <w:t xml:space="preserve">London serves as a global financial and legal hub, where the pace of litigation and transactional work is exceptionally rapid. The specific legal culture in United Kingdom London requires practitioners to navigate the Civil Procedure Rules (CPR), the SRA Standards and Regulations, and the Bar Standards Board (BSB) Handbook simultaneously. This experiment aims to quantify how modern technological interventions affect the traditional workflow of a Lawyer in this specific metropolitan context.</w:t>
      </w:r>
    </w:p>
    <w:bookmarkEnd w:id="20"/>
    <w:bookmarkStart w:id="21" w:name="objectives"/>
    <w:p>
      <w:pPr>
        <w:pStyle w:val="Heading2"/>
      </w:pPr>
      <w:r>
        <w:t xml:space="preserve">2. Objectives</w:t>
      </w:r>
    </w:p>
    <w:p>
      <w:pPr>
        <w:pStyle w:val="FirstParagraph"/>
      </w:pPr>
      <w:r>
        <w:t xml:space="preserve">The primary objective of this experiment is to determine whether the implementation of an AI-assisted document review system reduces the time taken for due diligence without compromising the accuracy of legal advice provided by a Lawyer.</w:t>
      </w:r>
    </w:p>
    <w:p>
      <w:pPr>
        <w:pStyle w:val="BodyText"/>
      </w:pPr>
      <w:r>
        <w:t xml:space="preserve">Secondary objectives include:</w:t>
      </w:r>
    </w:p>
    <w:p>
      <w:pPr>
        <w:numPr>
          <w:ilvl w:val="0"/>
          <w:numId w:val="1001"/>
        </w:numPr>
        <w:pStyle w:val="Compact"/>
      </w:pPr>
      <w:r>
        <w:t xml:space="preserve">Measuring the subjective cognitive load of participants using the NASA-TLX scale.</w:t>
      </w:r>
    </w:p>
    <w:p>
      <w:pPr>
        <w:numPr>
          <w:ilvl w:val="0"/>
          <w:numId w:val="1001"/>
        </w:numPr>
        <w:pStyle w:val="Compact"/>
      </w:pPr>
      <w:r>
        <w:t xml:space="preserve">Assessing the adherence to professional conduct rules specific to the United Kingdom London legal market.</w:t>
      </w:r>
    </w:p>
    <w:p>
      <w:pPr>
        <w:numPr>
          <w:ilvl w:val="0"/>
          <w:numId w:val="1001"/>
        </w:numPr>
        <w:pStyle w:val="Compact"/>
      </w:pPr>
      <w:r>
        <w:t xml:space="preserve">Evaluating the rate of error detection in complex commercial contracts typical of London-based firms.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utilise a randomised controlled trial (RCT) design. Participants will be divided into two groups: a Control Group, which will perform tasks using traditional manual review methods, and an Experimental Group, which will utilise the designated AI-assisted tool. The experiment will take place in a controlled environment within a law firm office in Central London to simulate real-world conditions.</w:t>
      </w:r>
    </w:p>
    <w:bookmarkEnd w:id="22"/>
    <w:bookmarkStart w:id="23" w:name="participants"/>
    <w:p>
      <w:pPr>
        <w:pStyle w:val="Heading3"/>
      </w:pPr>
      <w:r>
        <w:t xml:space="preserve">3.2 Participants</w:t>
      </w:r>
    </w:p>
    <w:p>
      <w:pPr>
        <w:pStyle w:val="FirstParagraph"/>
      </w:pPr>
      <w:r>
        <w:t xml:space="preserve">The target population for this experiment consists of qualified Lawyers. Specifically, we will recruit:</w:t>
      </w:r>
    </w:p>
    <w:p>
      <w:pPr>
        <w:numPr>
          <w:ilvl w:val="0"/>
          <w:numId w:val="1002"/>
        </w:numPr>
        <w:pStyle w:val="Compact"/>
      </w:pPr>
      <w:r>
        <w:rPr>
          <w:bCs/>
          <w:b/>
        </w:rPr>
        <w:t xml:space="preserve">Solicitors:</w:t>
      </w:r>
      <w:r>
        <w:t xml:space="preserve"> </w:t>
      </w:r>
      <w:r>
        <w:t xml:space="preserve">Minimum of 3 years post-qualification experience (PQE) in commercial law.</w:t>
      </w:r>
    </w:p>
    <w:p>
      <w:pPr>
        <w:numPr>
          <w:ilvl w:val="0"/>
          <w:numId w:val="1002"/>
        </w:numPr>
        <w:pStyle w:val="Compact"/>
      </w:pPr>
      <w:r>
        <w:rPr>
          <w:bCs/>
          <w:b/>
        </w:rPr>
        <w:t xml:space="preserve">Barristers:</w:t>
      </w:r>
      <w:r>
        <w:t xml:space="preserve"> </w:t>
      </w:r>
      <w:r>
        <w:t xml:space="preserve">Minimum of 3 years call, specialising in commercial litigation.</w:t>
      </w:r>
    </w:p>
    <w:p>
      <w:pPr>
        <w:pStyle w:val="FirstParagraph"/>
      </w:pPr>
      <w:r>
        <w:t xml:space="preserve">All participants must be currently practising in United Kingdom London and regulated by either the Solicitors Regulation Authority (SRA) or the Bar Standards Board (BSB). A sample size of 40 participants (20 per group) is required to ensure statistical significance.</w:t>
      </w:r>
    </w:p>
    <w:bookmarkEnd w:id="23"/>
    <w:bookmarkStart w:id="24" w:name="materials-and-stimuli"/>
    <w:p>
      <w:pPr>
        <w:pStyle w:val="Heading3"/>
      </w:pPr>
      <w:r>
        <w:t xml:space="preserve">3.3 Materials and Stimuli</w:t>
      </w:r>
    </w:p>
    <w:p>
      <w:pPr>
        <w:pStyle w:val="FirstParagraph"/>
      </w:pPr>
      <w:r>
        <w:t xml:space="preserve">The experiment will utilise a standardised dataset comprising 50 commercial lease agreements and 20 share purchase agreements. These documents will contain embedded "red herrings" and specific legal pitfalls relevant to English law, such as issues regarding rent review clauses, break options, and warranties. The documents will be anonymised to ensure client confidentiality, adhering to the Data Protection Act 2018 and UK GDPR.</w:t>
      </w:r>
    </w:p>
    <w:bookmarkEnd w:id="24"/>
    <w:bookmarkEnd w:id="25"/>
    <w:bookmarkStart w:id="30" w:name="procedure"/>
    <w:p>
      <w:pPr>
        <w:pStyle w:val="Heading2"/>
      </w:pPr>
      <w:r>
        <w:t xml:space="preserve">4. Procedure</w:t>
      </w:r>
    </w:p>
    <w:bookmarkStart w:id="26" w:name="phase-1-recruitment-and-consent"/>
    <w:p>
      <w:pPr>
        <w:pStyle w:val="Heading3"/>
      </w:pPr>
      <w:r>
        <w:t xml:space="preserve">4.1 Phase 1: Recruitment and Consent</w:t>
      </w:r>
    </w:p>
    <w:p>
      <w:pPr>
        <w:pStyle w:val="FirstParagraph"/>
      </w:pPr>
      <w:r>
        <w:t xml:space="preserve">Recruitment will be conducted through professional networks in United Kingdom London. Potential participants will be briefed on the nature of the experiment. Informed consent will be obtained, ensuring participants understand their right to withdraw at any time without prejudice to their professional standing.</w:t>
      </w:r>
    </w:p>
    <w:bookmarkEnd w:id="26"/>
    <w:bookmarkStart w:id="27" w:name="phase-2-baseline-assessment"/>
    <w:p>
      <w:pPr>
        <w:pStyle w:val="Heading3"/>
      </w:pPr>
      <w:r>
        <w:t xml:space="preserve">4.2 Phase 2: Baseline Assessment</w:t>
      </w:r>
    </w:p>
    <w:p>
      <w:pPr>
        <w:pStyle w:val="FirstParagraph"/>
      </w:pPr>
      <w:r>
        <w:t xml:space="preserve">Before the main experiment, each Lawyer will complete a baseline assessment to gauge their current proficiency in contract review. This ensures that both groups are matched for skill level. Participants will also complete a demographic survey detailing their years of experience and specific areas of practice within the London legal market.</w:t>
      </w:r>
    </w:p>
    <w:bookmarkEnd w:id="27"/>
    <w:bookmarkStart w:id="28" w:name="phase-3-the-experiment"/>
    <w:p>
      <w:pPr>
        <w:pStyle w:val="Heading3"/>
      </w:pPr>
      <w:r>
        <w:t xml:space="preserve">4.3 Phase 3: The Experiment</w:t>
      </w:r>
    </w:p>
    <w:p>
      <w:pPr>
        <w:pStyle w:val="FirstParagraph"/>
      </w:pPr>
      <w:r>
        <w:t xml:space="preserve">Participants will be given a fixed timeframe of four hours to review the provided documents.</w:t>
      </w:r>
    </w:p>
    <w:p>
      <w:pPr>
        <w:numPr>
          <w:ilvl w:val="0"/>
          <w:numId w:val="1003"/>
        </w:numPr>
        <w:pStyle w:val="Compact"/>
      </w:pPr>
      <w:r>
        <w:rPr>
          <w:bCs/>
          <w:b/>
        </w:rPr>
        <w:t xml:space="preserve">Control Group:</w:t>
      </w:r>
      <w:r>
        <w:t xml:space="preserve"> </w:t>
      </w:r>
      <w:r>
        <w:t xml:space="preserve">Will review documents using standard PDF software and manual highlighting tools.</w:t>
      </w:r>
    </w:p>
    <w:p>
      <w:pPr>
        <w:numPr>
          <w:ilvl w:val="0"/>
          <w:numId w:val="1003"/>
        </w:numPr>
        <w:pStyle w:val="Compact"/>
      </w:pPr>
      <w:r>
        <w:rPr>
          <w:bCs/>
          <w:b/>
        </w:rPr>
        <w:t xml:space="preserve">Experimental Group:</w:t>
      </w:r>
      <w:r>
        <w:t xml:space="preserve"> </w:t>
      </w:r>
      <w:r>
        <w:t xml:space="preserve">Will review documents using the AI-assisted platform, which highlights potential risks and anomalies.</w:t>
      </w:r>
    </w:p>
    <w:p>
      <w:pPr>
        <w:pStyle w:val="FirstParagraph"/>
      </w:pPr>
      <w:r>
        <w:t xml:space="preserve">During this phase, eye-tracking technology may be employed to monitor visual attention patterns, providing data on how a Lawyer interacts with digital text versus AI-generated summaries.</w:t>
      </w:r>
    </w:p>
    <w:bookmarkEnd w:id="28"/>
    <w:bookmarkStart w:id="29" w:name="phase-4-post-experiment-evaluation"/>
    <w:p>
      <w:pPr>
        <w:pStyle w:val="Heading3"/>
      </w:pPr>
      <w:r>
        <w:t xml:space="preserve">4.4 Phase 4: Post-Experiment Evaluation</w:t>
      </w:r>
    </w:p>
    <w:p>
      <w:pPr>
        <w:pStyle w:val="FirstParagraph"/>
      </w:pPr>
      <w:r>
        <w:t xml:space="preserve">Immediately following the task, participants will complete the NASA-Task Load Index (TLX) to report their perceived mental demand, physical demand, temporal demand, performance, effort, and frustration. They will also be interviewed regarding their trust in the technology used.</w:t>
      </w:r>
    </w:p>
    <w:bookmarkEnd w:id="29"/>
    <w:bookmarkEnd w:id="30"/>
    <w:bookmarkStart w:id="31" w:name="data-analysis"/>
    <w:p>
      <w:pPr>
        <w:pStyle w:val="Heading2"/>
      </w:pPr>
      <w:r>
        <w:t xml:space="preserve">5. Data Analysis</w:t>
      </w:r>
    </w:p>
    <w:p>
      <w:pPr>
        <w:pStyle w:val="FirstParagraph"/>
      </w:pPr>
      <w:r>
        <w:t xml:space="preserve">Data will be analysed using statistical software (e.g., SPSS). The primary metric will be the accuracy rate of identified legal risks. Secondary metrics include the time taken to complete the review and the NASA-TLX scores. We will employ independent t-tests to compare the means of the Control and Experimental groups. The analysis will specifically look for correlations between the use of AI tools and the reduction of cognitive fatigue in Lawyers working in the high-pressure environment of United Kingdom London.</w:t>
      </w:r>
    </w:p>
    <w:bookmarkEnd w:id="31"/>
    <w:bookmarkStart w:id="32" w:name="ethical-considerations"/>
    <w:p>
      <w:pPr>
        <w:pStyle w:val="Heading2"/>
      </w:pPr>
      <w:r>
        <w:t xml:space="preserve">6. Ethical Considerations</w:t>
      </w:r>
    </w:p>
    <w:p>
      <w:pPr>
        <w:pStyle w:val="FirstParagraph"/>
      </w:pPr>
      <w:r>
        <w:t xml:space="preserve">This experiment adheres to the British Psychological Society (BPS) Code of Human Research Ethics. Special attention is paid to the professional confidentiality of the Lawyer participants. No data that could identify a specific client or firm in United Kingdom London will be published. Furthermore, the experiment is designed to avoid any conflict with the professional duties of the participants.</w:t>
      </w:r>
    </w:p>
    <w:bookmarkEnd w:id="32"/>
    <w:bookmarkStart w:id="33" w:name="conclusion"/>
    <w:p>
      <w:pPr>
        <w:pStyle w:val="Heading2"/>
      </w:pPr>
      <w:r>
        <w:t xml:space="preserve">7. Conclusion</w:t>
      </w:r>
    </w:p>
    <w:p>
      <w:pPr>
        <w:pStyle w:val="FirstParagraph"/>
      </w:pPr>
      <w:r>
        <w:t xml:space="preserve">This Experiment Protocol provides a rigorous framework for understanding the evolving role of technology in the practice of law. By focusing on the Lawyer within the specific context of United Kingdom London, the results will offer valuable insights into how legal professionals can maintain high standards of service while adapting to digital transformation.</w:t>
      </w:r>
    </w:p>
    <w:p>
      <w:pPr>
        <w:pStyle w:val="BodyText"/>
      </w:pPr>
      <w:r>
        <w:rPr>
          <w:bCs/>
          <w:b/>
        </w:rPr>
        <w:t xml:space="preserve">Disclaimer:</w:t>
      </w:r>
      <w:r>
        <w:t xml:space="preserve"> </w:t>
      </w:r>
      <w:r>
        <w:t xml:space="preserve">This document is a template for an academic or professional experiment protocol. It does not constitute legal advice. All procedures involving human subjects must be approved by a relevant Institutional Review Board (IRB) or Ethics Committee prior to commencement.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Professional Competency Assessment</dc:title>
  <dc:creator/>
  <dc:language>en</dc:language>
  <cp:keywords/>
  <dcterms:created xsi:type="dcterms:W3CDTF">2026-10-10T02:43:14Z</dcterms:created>
  <dcterms:modified xsi:type="dcterms:W3CDTF">2026-10-10T02:43:14Z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