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Manchester</w:t>
      </w:r>
    </w:p>
    <w:bookmarkStart w:id="20" w:name="X492b40b64eb6de9b205ec8cfe8c4ce004be9c5d"/>
    <w:p>
      <w:pPr>
        <w:pStyle w:val="Heading1"/>
      </w:pPr>
      <w:r>
        <w:t xml:space="preserve">Experiment Protocol: Enhancing Legal Service Delivery for Lawyers in United Kingdom Manchester</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Manchester, United Kingdom</w:t>
      </w:r>
    </w:p>
    <w:p>
      <w:pPr>
        <w:pStyle w:val="BodyText"/>
      </w:pPr>
      <w:r>
        <w:rPr>
          <w:bCs/>
          <w:b/>
        </w:rPr>
        <w:t xml:space="preserve">Prepared For:</w:t>
      </w:r>
      <w:r>
        <w:t xml:space="preserve"> </w:t>
      </w:r>
      <w:r>
        <w:t xml:space="preserve">Legal Practice Managers and Regulatory Compliance Officers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aimed at evaluating the efficacy of a new digital case management system specifically tailored for lawyers operating within the legal landscape of Manchester, United Kingdom. The legal sector in Manchester has seen significant growth, with a diverse range of practices from corporate law to family law. However, challenges related to efficiency, client communication, and regulatory compliance persist.</w:t>
      </w:r>
    </w:p>
    <w:p>
      <w:pPr>
        <w:pStyle w:val="BodyText"/>
      </w:pPr>
      <w:r>
        <w:t xml:space="preserve">The primary objective of this experiment is to determine whether the implementation of an AI-driven legal assistant tool can reduce administrative burdens on lawyers, thereby allowing them to focus more on substantive legal work. This protocol ensures that the experiment is conducted ethically, legally, and in accordance with the standards set by the Solicitors Regulation Authority (SRA) in the United Kingdom.</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the AI-driven legal assistant on the time lawyers spend on administrative tasks.</w:t>
      </w:r>
    </w:p>
    <w:p>
      <w:pPr>
        <w:numPr>
          <w:ilvl w:val="0"/>
          <w:numId w:val="1001"/>
        </w:numPr>
        <w:pStyle w:val="Compact"/>
      </w:pPr>
      <w:r>
        <w:t xml:space="preserve">To assess the accuracy of legal document drafting generated by the tool compared to traditional methods.</w:t>
      </w:r>
    </w:p>
    <w:p>
      <w:pPr>
        <w:numPr>
          <w:ilvl w:val="0"/>
          <w:numId w:val="1001"/>
        </w:numPr>
        <w:pStyle w:val="Compact"/>
      </w:pPr>
      <w:r>
        <w:t xml:space="preserve">To evaluate client satisfaction levels when lawyers utilize the new system for communication and updates.</w:t>
      </w:r>
    </w:p>
    <w:p>
      <w:pPr>
        <w:numPr>
          <w:ilvl w:val="0"/>
          <w:numId w:val="1001"/>
        </w:numPr>
        <w:pStyle w:val="Compact"/>
      </w:pPr>
      <w:r>
        <w:t xml:space="preserve">To ensure that the use of the tool complies with data protection laws, including the General Data Protection Regulation (GDPR) applicable in the United Kingdom.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Participating law firms in Manchester will be randomly assigned to either the intervention group or the control group. The intervention group will use the AI-driven legal assistant tool for a period of three months, while the control group will continue with their existing practices.</w:t>
      </w:r>
    </w:p>
    <w:bookmarkEnd w:id="23"/>
    <w:bookmarkStart w:id="24" w:name="participants"/>
    <w:p>
      <w:pPr>
        <w:pStyle w:val="Heading3"/>
      </w:pPr>
      <w:r>
        <w:t xml:space="preserve">3.2 Participants</w:t>
      </w:r>
    </w:p>
    <w:p>
      <w:pPr>
        <w:pStyle w:val="FirstParagraph"/>
      </w:pPr>
      <w:r>
        <w:t xml:space="preserve">The participants in this study will include:</w:t>
      </w:r>
    </w:p>
    <w:p>
      <w:pPr>
        <w:numPr>
          <w:ilvl w:val="0"/>
          <w:numId w:val="1002"/>
        </w:numPr>
        <w:pStyle w:val="Compact"/>
      </w:pPr>
      <w:r>
        <w:rPr>
          <w:bCs/>
          <w:b/>
        </w:rPr>
        <w:t xml:space="preserve">Lawyers:</w:t>
      </w:r>
      <w:r>
        <w:t xml:space="preserve"> </w:t>
      </w:r>
      <w:r>
        <w:t xml:space="preserve">Qualified solicitors and barristers practicing in Manchester, United Kingdom. A minimum of 50 lawyers will be recruited from various firms.</w:t>
      </w:r>
    </w:p>
    <w:p>
      <w:pPr>
        <w:numPr>
          <w:ilvl w:val="0"/>
          <w:numId w:val="1002"/>
        </w:numPr>
        <w:pStyle w:val="Compact"/>
      </w:pPr>
      <w:r>
        <w:rPr>
          <w:bCs/>
          <w:b/>
        </w:rPr>
        <w:t xml:space="preserve">Clients:</w:t>
      </w:r>
      <w:r>
        <w:t xml:space="preserve"> </w:t>
      </w:r>
      <w:r>
        <w:t xml:space="preserve">Clients of the participating lawyers who consent to be part of the study. Their feedback will be crucial in assessing the impact on service delivery.</w:t>
      </w:r>
    </w:p>
    <w:bookmarkEnd w:id="24"/>
    <w:bookmarkStart w:id="25" w:name="intervention"/>
    <w:p>
      <w:pPr>
        <w:pStyle w:val="Heading3"/>
      </w:pPr>
      <w:r>
        <w:t xml:space="preserve">3.3 Intervention</w:t>
      </w:r>
    </w:p>
    <w:p>
      <w:pPr>
        <w:pStyle w:val="FirstParagraph"/>
      </w:pPr>
      <w:r>
        <w:t xml:space="preserve">The intervention involves the integration of the AI-driven legal assistant into the daily workflow of lawyers in the intervention group. This tool will assist with tasks such as:</w:t>
      </w:r>
    </w:p>
    <w:p>
      <w:pPr>
        <w:numPr>
          <w:ilvl w:val="0"/>
          <w:numId w:val="1003"/>
        </w:numPr>
        <w:pStyle w:val="Compact"/>
      </w:pPr>
      <w:r>
        <w:t xml:space="preserve">Automated document drafting and review.</w:t>
      </w:r>
    </w:p>
    <w:p>
      <w:pPr>
        <w:numPr>
          <w:ilvl w:val="0"/>
          <w:numId w:val="1003"/>
        </w:numPr>
        <w:pStyle w:val="Compact"/>
      </w:pPr>
      <w:r>
        <w:t xml:space="preserve">Scheduling and reminders for court dates and deadlines.</w:t>
      </w:r>
    </w:p>
    <w:p>
      <w:pPr>
        <w:numPr>
          <w:ilvl w:val="0"/>
          <w:numId w:val="1003"/>
        </w:numPr>
        <w:pStyle w:val="Compact"/>
      </w:pPr>
      <w:r>
        <w:t xml:space="preserve">Client communication templates and updates.</w:t>
      </w:r>
    </w:p>
    <w:p>
      <w:pPr>
        <w:numPr>
          <w:ilvl w:val="0"/>
          <w:numId w:val="1003"/>
        </w:numPr>
        <w:pStyle w:val="Compact"/>
      </w:pPr>
      <w:r>
        <w:t xml:space="preserve">Legal research assistance.</w:t>
      </w:r>
    </w:p>
    <w:bookmarkEnd w:id="25"/>
    <w:bookmarkEnd w:id="26"/>
    <w:bookmarkStart w:id="27" w:name="data-collection"/>
    <w:p>
      <w:pPr>
        <w:pStyle w:val="Heading2"/>
      </w:pPr>
      <w:r>
        <w:t xml:space="preserve">4. Data Collection</w:t>
      </w:r>
    </w:p>
    <w:p>
      <w:pPr>
        <w:pStyle w:val="FirstParagraph"/>
      </w:pPr>
      <w:r>
        <w:t xml:space="preserve">Data will be collected through multiple methods to ensure a comprehensive analysis:</w:t>
      </w:r>
    </w:p>
    <w:p>
      <w:pPr>
        <w:numPr>
          <w:ilvl w:val="0"/>
          <w:numId w:val="1004"/>
        </w:numPr>
        <w:pStyle w:val="Compact"/>
      </w:pPr>
      <w:r>
        <w:rPr>
          <w:bCs/>
          <w:b/>
        </w:rPr>
        <w:t xml:space="preserve">Surveys:</w:t>
      </w:r>
      <w:r>
        <w:t xml:space="preserve"> </w:t>
      </w:r>
      <w:r>
        <w:t xml:space="preserve">Lawyers and clients will complete surveys at the beginning, midpoint, and end of the experiment to assess their experiences and satisfaction levels.</w:t>
      </w:r>
    </w:p>
    <w:p>
      <w:pPr>
        <w:numPr>
          <w:ilvl w:val="0"/>
          <w:numId w:val="1004"/>
        </w:numPr>
        <w:pStyle w:val="Compact"/>
      </w:pPr>
      <w:r>
        <w:rPr>
          <w:bCs/>
          <w:b/>
        </w:rPr>
        <w:t xml:space="preserve">Time Logs:</w:t>
      </w:r>
      <w:r>
        <w:t xml:space="preserve"> </w:t>
      </w:r>
      <w:r>
        <w:t xml:space="preserve">Lawyers will maintain detailed logs of the time spent on various tasks to quantify any changes in efficiency.</w:t>
      </w:r>
    </w:p>
    <w:p>
      <w:pPr>
        <w:numPr>
          <w:ilvl w:val="0"/>
          <w:numId w:val="1004"/>
        </w:numPr>
        <w:pStyle w:val="Compact"/>
      </w:pPr>
      <w:r>
        <w:rPr>
          <w:bCs/>
          <w:b/>
        </w:rPr>
        <w:t xml:space="preserve">Document Analysis:</w:t>
      </w:r>
      <w:r>
        <w:t xml:space="preserve"> </w:t>
      </w:r>
      <w:r>
        <w:t xml:space="preserve">A sample of legal documents drafted with and without the AI tool will be reviewed by independent legal experts to assess accuracy and quality.</w:t>
      </w:r>
    </w:p>
    <w:p>
      <w:pPr>
        <w:numPr>
          <w:ilvl w:val="0"/>
          <w:numId w:val="1004"/>
        </w:numPr>
        <w:pStyle w:val="Compact"/>
      </w:pPr>
      <w:r>
        <w:rPr>
          <w:bCs/>
          <w:b/>
        </w:rPr>
        <w:t xml:space="preserve">Interviews:</w:t>
      </w:r>
      <w:r>
        <w:t xml:space="preserve"> </w:t>
      </w:r>
      <w:r>
        <w:t xml:space="preserve">Semi-structured interviews with a subset of lawyers and clients will provide qualitative insights into the benefits and challenges of using the tool.</w:t>
      </w:r>
    </w:p>
    <w:bookmarkEnd w:id="27"/>
    <w:bookmarkStart w:id="28" w:name="ethical-considerations"/>
    <w:p>
      <w:pPr>
        <w:pStyle w:val="Heading2"/>
      </w:pPr>
      <w:r>
        <w:t xml:space="preserve">5. Ethical Considerations</w:t>
      </w:r>
    </w:p>
    <w:p>
      <w:pPr>
        <w:pStyle w:val="FirstParagraph"/>
      </w:pPr>
      <w:r>
        <w:t xml:space="preserve">This experiment will adhere to the highest ethical standards, ensuring the protection of all participants:</w:t>
      </w:r>
    </w:p>
    <w:p>
      <w:pPr>
        <w:numPr>
          <w:ilvl w:val="0"/>
          <w:numId w:val="1005"/>
        </w:numPr>
        <w:pStyle w:val="Compact"/>
      </w:pPr>
      <w:r>
        <w:rPr>
          <w:bCs/>
          <w:b/>
        </w:rPr>
        <w:t xml:space="preserve">Informed Consent:</w:t>
      </w:r>
      <w:r>
        <w:t xml:space="preserve"> </w:t>
      </w:r>
      <w:r>
        <w:t xml:space="preserve">All participants will provide informed consent before joining the study. They will be fully informed about the purpose, procedures, and potential risks.</w:t>
      </w:r>
    </w:p>
    <w:p>
      <w:pPr>
        <w:numPr>
          <w:ilvl w:val="0"/>
          <w:numId w:val="1005"/>
        </w:numPr>
        <w:pStyle w:val="Compact"/>
      </w:pPr>
      <w:r>
        <w:rPr>
          <w:bCs/>
          <w:b/>
        </w:rPr>
        <w:t xml:space="preserve">Confidentiality:</w:t>
      </w:r>
      <w:r>
        <w:t xml:space="preserve"> </w:t>
      </w:r>
      <w:r>
        <w:t xml:space="preserve">All data collected will be anonymized and stored securely in compliance with GDPR regulations. Access to data will be restricted to authorized personnel only.</w:t>
      </w:r>
    </w:p>
    <w:p>
      <w:pPr>
        <w:numPr>
          <w:ilvl w:val="0"/>
          <w:numId w:val="1005"/>
        </w:numPr>
        <w:pStyle w:val="Compact"/>
      </w:pPr>
      <w:r>
        <w:rPr>
          <w:bCs/>
          <w:b/>
        </w:rPr>
        <w:t xml:space="preserve">Right to Withdraw:</w:t>
      </w:r>
      <w:r>
        <w:t xml:space="preserve"> </w:t>
      </w:r>
      <w:r>
        <w:t xml:space="preserve">Participants have the right to withdraw from the study at any time without any negative consequences.</w:t>
      </w:r>
    </w:p>
    <w:p>
      <w:pPr>
        <w:numPr>
          <w:ilvl w:val="0"/>
          <w:numId w:val="1005"/>
        </w:numPr>
        <w:pStyle w:val="Compact"/>
      </w:pPr>
      <w:r>
        <w:rPr>
          <w:bCs/>
          <w:b/>
        </w:rPr>
        <w:t xml:space="preserve">Regulatory Compliance:</w:t>
      </w:r>
      <w:r>
        <w:t xml:space="preserve"> </w:t>
      </w:r>
      <w:r>
        <w:t xml:space="preserve">The experiment will be conducted in accordance with the guidelines set by the SRA and other relevant regulatory bodies in the United Kingdom.</w:t>
      </w:r>
    </w:p>
    <w:bookmarkEnd w:id="28"/>
    <w:bookmarkStart w:id="29" w:name="data-analysis"/>
    <w:p>
      <w:pPr>
        <w:pStyle w:val="Heading2"/>
      </w:pPr>
      <w:r>
        <w:t xml:space="preserve">6. Data Analysis</w:t>
      </w:r>
    </w:p>
    <w:p>
      <w:pPr>
        <w:pStyle w:val="FirstParagraph"/>
      </w:pPr>
      <w:r>
        <w:t xml:space="preserve">Data analysis will be conducted using statistical software to determine the significance of the findings:</w:t>
      </w:r>
    </w:p>
    <w:p>
      <w:pPr>
        <w:numPr>
          <w:ilvl w:val="0"/>
          <w:numId w:val="1006"/>
        </w:numPr>
        <w:pStyle w:val="Compact"/>
      </w:pPr>
      <w:r>
        <w:rPr>
          <w:bCs/>
          <w:b/>
        </w:rPr>
        <w:t xml:space="preserve">Quantitative Analysis:</w:t>
      </w:r>
      <w:r>
        <w:t xml:space="preserve"> </w:t>
      </w:r>
      <w:r>
        <w:t xml:space="preserve">Statistical tests will be used to compare the time spent on tasks, accuracy of documents, and client satisfaction scores between the intervention and control groups.</w:t>
      </w:r>
    </w:p>
    <w:p>
      <w:pPr>
        <w:numPr>
          <w:ilvl w:val="0"/>
          <w:numId w:val="1006"/>
        </w:numPr>
        <w:pStyle w:val="Compact"/>
      </w:pPr>
      <w:r>
        <w:rPr>
          <w:bCs/>
          <w:b/>
        </w:rPr>
        <w:t xml:space="preserve">Qualitative Analysis:</w:t>
      </w:r>
      <w:r>
        <w:t xml:space="preserve"> </w:t>
      </w:r>
      <w:r>
        <w:t xml:space="preserve">Thematic analysis will be applied to interview transcripts to identify common themes and insights regarding the use of the AI tool.</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setup of the AI tool.</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Implementation of the AI tool in the intervention group.</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Ongoing data collection through surveys, logs, and interviews.</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and interpretation of results.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the final report.</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an AI-driven legal assistant on lawyers in Manchester, United Kingdom. By following this protocol, we aim to generate valuable insights that can enhance legal service delivery, improve efficiency, and ensure compliance with regulatory standards. The findings of this study will contribute to the broader understanding of how technology can be effectively integrated into legal practices, ultimately benefiting both lawyers and their clients.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Manchester</dc:title>
  <dc:creator/>
  <dc:language>en</dc:language>
  <cp:keywords/>
  <dcterms:created xsi:type="dcterms:W3CDTF">2026-10-10T01:56:55Z</dcterms:created>
  <dcterms:modified xsi:type="dcterms:W3CDTF">2026-10-10T01:56:55Z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