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Practice</w:t>
      </w:r>
      <w:r>
        <w:t xml:space="preserve"> </w:t>
      </w:r>
      <w:r>
        <w:t xml:space="preserve">Adaptation</w:t>
      </w:r>
      <w:r>
        <w:t xml:space="preserve"> </w:t>
      </w:r>
      <w:r>
        <w:t xml:space="preserve">in</w:t>
      </w:r>
      <w:r>
        <w:t xml:space="preserve"> </w:t>
      </w:r>
      <w:r>
        <w:t xml:space="preserve">Houston</w:t>
      </w:r>
    </w:p>
    <w:bookmarkStart w:id="20" w:name="X7c6425b196e396c4fd3d16c492bfd7a843e73f3"/>
    <w:p>
      <w:pPr>
        <w:pStyle w:val="Heading1"/>
      </w:pPr>
      <w:r>
        <w:t xml:space="preserve">Experiment Protocol: Jurisdictional Competency and Client Interaction Dynamics</w:t>
      </w:r>
    </w:p>
    <w:p>
      <w:pPr>
        <w:pStyle w:val="FirstParagraph"/>
      </w:pPr>
      <w:r>
        <w:rPr>
          <w:bCs/>
          <w:b/>
        </w:rPr>
        <w:t xml:space="preserve">Subject:</w:t>
      </w:r>
      <w:r>
        <w:t xml:space="preserve"> </w:t>
      </w:r>
      <w:r>
        <w:t xml:space="preserve">The Lawyer</w:t>
      </w:r>
    </w:p>
    <w:p>
      <w:pPr>
        <w:pStyle w:val="BodyText"/>
      </w:pPr>
      <w:r>
        <w:rPr>
          <w:bCs/>
          <w:b/>
        </w:rPr>
        <w:t xml:space="preserve">Location:</w:t>
      </w:r>
      <w:r>
        <w:t xml:space="preserve"> </w:t>
      </w:r>
      <w:r>
        <w:t xml:space="preserve">United States Houston, Texas</w:t>
      </w:r>
    </w:p>
    <w:p>
      <w:pPr>
        <w:pStyle w:val="BodyText"/>
      </w:pPr>
      <w:r>
        <w:rPr>
          <w:bCs/>
          <w:b/>
        </w:rPr>
        <w:t xml:space="preserve">Protocol ID:</w:t>
      </w:r>
      <w:r>
        <w:t xml:space="preserve"> </w:t>
      </w:r>
      <w:r>
        <w:t xml:space="preserve">HOU-LEX-2024-001</w:t>
      </w:r>
    </w:p>
    <w:p>
      <w:pPr>
        <w:pStyle w:val="BodyText"/>
      </w:pPr>
      <w:r>
        <w:rPr>
          <w:bCs/>
          <w:b/>
        </w:rPr>
        <w:t xml:space="preserve">Date:</w:t>
      </w:r>
      <w:r>
        <w:t xml:space="preserve"> </w:t>
      </w:r>
      <w:r>
        <w:t xml:space="preserve">October 24, 2023</w:t>
      </w:r>
    </w:p>
    <w:bookmarkEnd w:id="20"/>
    <w:p>
      <w:pPr>
        <w:pStyle w:val="BodyText"/>
      </w:pPr>
      <w:r>
        <w:t xml:space="preserve">1.0 Objective</w:t>
      </w:r>
    </w:p>
    <w:p>
      <w:pPr>
        <w:pStyle w:val="BodyText"/>
      </w:pPr>
      <w:r>
        <w:t xml:space="preserve">The primary objective of this Experiment Protocol is to evaluate the operational efficacy, ethical adherence, and strategic adaptability of a Lawyer practicing within the specific legal and cultural ecosystem of United States Houston. This study aims to quantify the correlation between localized legal knowledge—specifically regarding Texas state statutes and Harris County procedural rules—and successful case outcomes. Furthermore, the protocol seeks to analyze the Lawyer's ability to navigate the unique demographic and economic landscape of Houston, ensuring that legal representation is both technically sound and culturally competent.</w:t>
      </w:r>
    </w:p>
    <w:p>
      <w:pPr>
        <w:pStyle w:val="BodyText"/>
      </w:pPr>
      <w:r>
        <w:t xml:space="preserve">2.0 Scope and Context</w:t>
      </w:r>
    </w:p>
    <w:p>
      <w:pPr>
        <w:pStyle w:val="BodyText"/>
      </w:pPr>
      <w:r>
        <w:t xml:space="preserve">This experiment is strictly confined to the jurisdiction of United States Houston. The legal environment in Houston is distinct due to its status as a major hub for energy, healthcare, and international trade. Consequently, the Lawyer under observation will be subjected to scenarios involving complex commercial litigation, energy law regulations, and diverse civil matters prevalent in the region. The scope includes interactions with the Harris County Clerk’s Office, the Texas Supreme Court appellate processes, and federal courts within the Southern District of Texas.</w:t>
      </w:r>
    </w:p>
    <w:p>
      <w:pPr>
        <w:pStyle w:val="BodyText"/>
      </w:pPr>
      <w:r>
        <w:t xml:space="preserve">The Lawyer must demonstrate proficiency not only in general American jurisprudence but also in the specific nuances of Texas law, which differs significantly from other states in areas such as community property, tort reform, and oil and gas rights.</w:t>
      </w:r>
    </w:p>
    <w:p>
      <w:pPr>
        <w:pStyle w:val="BodyText"/>
      </w:pPr>
      <w:r>
        <w:t xml:space="preserve">3.0 Methodology</w:t>
      </w:r>
    </w:p>
    <w:p>
      <w:pPr>
        <w:pStyle w:val="BodyText"/>
      </w:pPr>
      <w:r>
        <w:t xml:space="preserve">The experiment will utilize a mixed-methods approach, combining quantitative performance metrics with qualitative assessments of client satisfaction and peer review. The protocol is divided into three distinct phases:</w:t>
      </w:r>
    </w:p>
    <w:p>
      <w:pPr>
        <w:numPr>
          <w:ilvl w:val="0"/>
          <w:numId w:val="1001"/>
        </w:numPr>
        <w:pStyle w:val="Compact"/>
      </w:pPr>
      <w:r>
        <w:rPr>
          <w:bCs/>
          <w:b/>
        </w:rPr>
        <w:t xml:space="preserve">Phase I: Regulatory Compliance and Admission Verification.</w:t>
      </w:r>
      <w:r>
        <w:t xml:space="preserve"> </w:t>
      </w:r>
      <w:r>
        <w:t xml:space="preserve">The Lawyer must verify active standing with the State Bar of Texas. This phase involves a rigorous audit of the Lawyer’s continuing legal education (CLE) credits, ensuring compliance with Texas-specific requirements.</w:t>
      </w:r>
    </w:p>
    <w:p>
      <w:pPr>
        <w:numPr>
          <w:ilvl w:val="0"/>
          <w:numId w:val="1001"/>
        </w:numPr>
        <w:pStyle w:val="Compact"/>
      </w:pPr>
      <w:r>
        <w:rPr>
          <w:bCs/>
          <w:b/>
        </w:rPr>
        <w:t xml:space="preserve">Phase II: Simulated Case Management.</w:t>
      </w:r>
      <w:r>
        <w:t xml:space="preserve"> </w:t>
      </w:r>
      <w:r>
        <w:t xml:space="preserve">The Lawyer will be assigned a series of simulated cases reflective of common legal issues in United States Houston. These cases will include residential eviction disputes in Harris County, commercial contract breaches involving energy sector entities, and personal injury claims subject to Texas modified comparative negligence rules.</w:t>
      </w:r>
    </w:p>
    <w:p>
      <w:pPr>
        <w:numPr>
          <w:ilvl w:val="0"/>
          <w:numId w:val="1001"/>
        </w:numPr>
        <w:pStyle w:val="Compact"/>
      </w:pPr>
      <w:r>
        <w:rPr>
          <w:bCs/>
          <w:b/>
        </w:rPr>
        <w:t xml:space="preserve">Phase III: Client Interaction and Cultural Competency.</w:t>
      </w:r>
      <w:r>
        <w:t xml:space="preserve"> </w:t>
      </w:r>
      <w:r>
        <w:t xml:space="preserve">Given Houston’s diverse population, the Lawyer will be evaluated on their ability to communicate effectively with clients from various linguistic and cultural backgrounds. This phase assesses the Lawyer’s adherence to ethical communication standards mandated by the Texas Disciplinary Rules of Professional Conduct.</w:t>
      </w:r>
    </w:p>
    <w:p>
      <w:pPr>
        <w:pStyle w:val="FirstParagraph"/>
      </w:pPr>
      <w:r>
        <w:t xml:space="preserve">4.0 Experimental Procedures</w:t>
      </w:r>
    </w:p>
    <w:p>
      <w:pPr>
        <w:pStyle w:val="BodyText"/>
      </w:pPr>
      <w:r>
        <w:rPr>
          <w:bCs/>
          <w:b/>
        </w:rPr>
        <w:t xml:space="preserve">4.1 Data Collection:</w:t>
      </w:r>
      <w:r>
        <w:t xml:space="preserve"> </w:t>
      </w:r>
      <w:r>
        <w:t xml:space="preserve">All interactions, filings, and strategic decisions made by the Lawyer will be recorded. In the context of United States Houston, special attention will be paid to the Lawyer’s utilization of local legal resources, such as the Houston Bar Association’s practice sections and local court rules.</w:t>
      </w:r>
    </w:p>
    <w:p>
      <w:pPr>
        <w:pStyle w:val="BodyText"/>
      </w:pPr>
      <w:r>
        <w:rPr>
          <w:bCs/>
          <w:b/>
        </w:rPr>
        <w:t xml:space="preserve">4.2 Scenario Execution:</w:t>
      </w:r>
    </w:p>
    <w:p>
      <w:pPr>
        <w:numPr>
          <w:ilvl w:val="0"/>
          <w:numId w:val="1002"/>
        </w:numPr>
        <w:pStyle w:val="Compact"/>
      </w:pPr>
      <w:r>
        <w:rPr>
          <w:iCs/>
          <w:i/>
        </w:rPr>
        <w:t xml:space="preserve">Scenario A (Energy Law):</w:t>
      </w:r>
      <w:r>
        <w:t xml:space="preserve"> </w:t>
      </w:r>
      <w:r>
        <w:t xml:space="preserve">The Lawyer must draft a lease agreement for mineral rights in the Permian Basin, adhering to Texas property law.</w:t>
      </w:r>
    </w:p>
    <w:p>
      <w:pPr>
        <w:numPr>
          <w:ilvl w:val="0"/>
          <w:numId w:val="1002"/>
        </w:numPr>
        <w:pStyle w:val="Compact"/>
      </w:pPr>
      <w:r>
        <w:rPr>
          <w:iCs/>
          <w:i/>
        </w:rPr>
        <w:t xml:space="preserve">Scenario B (Civil Litigation):</w:t>
      </w:r>
      <w:r>
        <w:t xml:space="preserve"> </w:t>
      </w:r>
      <w:r>
        <w:t xml:space="preserve">The Lawyer must file a motion to dismiss in a Harris County District Court, citing specific local rules of procedure.</w:t>
      </w:r>
    </w:p>
    <w:p>
      <w:pPr>
        <w:numPr>
          <w:ilvl w:val="0"/>
          <w:numId w:val="1002"/>
        </w:numPr>
        <w:pStyle w:val="Compact"/>
      </w:pPr>
      <w:r>
        <w:rPr>
          <w:iCs/>
          <w:i/>
        </w:rPr>
        <w:t xml:space="preserve">Scenario C (Ethical Dilemma):</w:t>
      </w:r>
      <w:r>
        <w:t xml:space="preserve"> </w:t>
      </w:r>
      <w:r>
        <w:t xml:space="preserve">The Lawyer will be presented with a conflict of interest scenario involving a prominent Houston business entity, requiring a decision based on Texas ethical guidelines.</w:t>
      </w:r>
    </w:p>
    <w:p>
      <w:pPr>
        <w:pStyle w:val="FirstParagraph"/>
      </w:pPr>
      <w:r>
        <w:rPr>
          <w:bCs/>
          <w:b/>
        </w:rPr>
        <w:t xml:space="preserve">4.3 Evaluation Criteria:</w:t>
      </w:r>
      <w:r>
        <w:t xml:space="preserve"> </w:t>
      </w:r>
      <w:r>
        <w:t xml:space="preserve">Performance will be measured against a rubric that includes accuracy of legal citation, timeliness of filings, adherence to Texas Rules of Civil Procedure, and the clarity of legal advice provided to the client.</w:t>
      </w:r>
    </w:p>
    <w:p>
      <w:pPr>
        <w:pStyle w:val="BodyText"/>
      </w:pPr>
      <w:r>
        <w:t xml:space="preserve">5.0 Ethical Considerations and Risk Management</w:t>
      </w:r>
    </w:p>
    <w:p>
      <w:pPr>
        <w:pStyle w:val="BodyText"/>
      </w:pPr>
      <w:r>
        <w:t xml:space="preserve">This Experiment Protocol strictly adheres to the ethical standards set forth by the American Bar Association and the State Bar of Texas. The Lawyer must maintain client confidentiality at all times, in accordance with Texas Rule of Professional Conduct 1.05. Any data collected during the experiment will be anonymized to protect the privacy of simulated clients.</w:t>
      </w:r>
    </w:p>
    <w:p>
      <w:pPr>
        <w:pStyle w:val="BodyText"/>
      </w:pPr>
      <w:r>
        <w:t xml:space="preserve">Risk management is a critical component of this protocol. The Lawyer must demonstrate an understanding of malpractice risks specific to the United States Houston market, including the high stakes associated with commercial litigation in the energy sector. The experiment will assess the Lawyer’s ability to identify potential liabilities and implement appropriate safeguards.</w:t>
      </w:r>
    </w:p>
    <w:p>
      <w:pPr>
        <w:pStyle w:val="BodyText"/>
      </w:pPr>
      <w:r>
        <w:t xml:space="preserve">6.0 Expected Outcomes</w:t>
      </w:r>
    </w:p>
    <w:p>
      <w:pPr>
        <w:pStyle w:val="BodyText"/>
      </w:pPr>
      <w:r>
        <w:t xml:space="preserve">Upon completion of this Experiment Protocol, it is expected that the Lawyer will have demonstrated a comprehensive understanding of the legal landscape in United States Houston. Successful completion will indicate that the Lawyer is capable of providing high-quality, ethically sound, and culturally aware legal services. The data gathered will contribute to a broader understanding of the competencies required for legal practice in one of the most dynamic and complex jurisdictions in the United States.</w:t>
      </w:r>
    </w:p>
    <w:p>
      <w:pPr>
        <w:pStyle w:val="BodyText"/>
      </w:pPr>
      <w:r>
        <w:t xml:space="preserve">Specifically, the experiment aims to validate that a Lawyer operating in Houston must possess not only general legal acumen but also specialized knowledge of Texas statutes, local court customs, and the socio-economic factors that influence legal outcomes in the region.</w:t>
      </w:r>
    </w:p>
    <w:p>
      <w:pPr>
        <w:pStyle w:val="BodyText"/>
      </w:pPr>
      <w:r>
        <w:t xml:space="preserve">7.0 Conclusion</w:t>
      </w:r>
    </w:p>
    <w:p>
      <w:pPr>
        <w:pStyle w:val="BodyText"/>
      </w:pPr>
      <w:r>
        <w:t xml:space="preserve">This Experiment Protocol serves as a rigorous framework for assessing the capabilities of a Lawyer within the specific context of United States Houston. By focusing on the unique legal, cultural, and economic factors of the region, this document ensures that the evaluation is both relevant and comprehensive. The findings will provide valuable insights into the standards of legal practice in Houston and contribute to the ongoing development of legal education and professional standards in Texas.</w:t>
      </w:r>
    </w:p>
    <w:p>
      <w:pPr>
        <w:pStyle w:val="BodyText"/>
      </w:pPr>
      <w:r>
        <w:rPr>
          <w:bCs/>
          <w:b/>
        </w:rPr>
        <w:t xml:space="preserve">Disclaimer:</w:t>
      </w:r>
      <w:r>
        <w:t xml:space="preserve"> </w:t>
      </w:r>
      <w:r>
        <w:t xml:space="preserve">This document is an Experiment Protocol for educational and evaluative purposes. It does not constitute legal advice. All references to laws and regulations are based on the statutes and rules applicable in the State of Texas and the United States as of the date of this document.</w:t>
      </w:r>
    </w:p>
    <w:p>
      <w:pPr>
        <w:pStyle w:val="BodyText"/>
      </w:pPr>
      <w:r>
        <w:t xml:space="preserve">© 2023 Legal Research Institute, Houston, TX.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Practice Adaptation in Houston</dc:title>
  <dc:creator/>
  <dc:language>en</dc:language>
  <cp:keywords/>
  <dcterms:created xsi:type="dcterms:W3CDTF">2026-10-10T01:21:45Z</dcterms:created>
  <dcterms:modified xsi:type="dcterms:W3CDTF">2026-10-10T01:21:45Z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