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Miami</w:t>
      </w:r>
    </w:p>
    <w:bookmarkStart w:id="35" w:name="X0603da5a523d534da65bd266e6e8bc8d1be542f"/>
    <w:p>
      <w:pPr>
        <w:pStyle w:val="Heading1"/>
      </w:pPr>
      <w:r>
        <w:t xml:space="preserve">Experiment Protocol: Evaluation of Legal Practice Standards for Lawyers in United States Miami</w:t>
      </w:r>
    </w:p>
    <w:bookmarkStart w:id="20" w:name="introduction"/>
    <w:p>
      <w:pPr>
        <w:pStyle w:val="Heading2"/>
      </w:pPr>
      <w:r>
        <w:t xml:space="preserve">1. Introduction</w:t>
      </w:r>
    </w:p>
    <w:p>
      <w:pPr>
        <w:pStyle w:val="FirstParagraph"/>
      </w:pPr>
      <w:r>
        <w:t xml:space="preserve">This Experiment Protocol outlines the procedures for assessing the professional performance, ethical compliance, and client service standards of lawyers practicing in Miami, United States. The purpose of this protocol is to establish a systematic method for evaluating legal services provided within the jurisdiction of Miami-Dade County, ensuring alignment with state and federal regulations.</w:t>
      </w:r>
    </w:p>
    <w:p>
      <w:pPr>
        <w:pStyle w:val="BodyText"/>
      </w:pPr>
      <w:r>
        <w:t xml:space="preserve">The legal landscape in Miami is unique due to its diverse population, international business environment, and complex regulatory framework. This protocol is designed to address these specific challenges while maintaining the highest standards of legal practice.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competence and professionalism of lawyers in Miami across various practice areas.</w:t>
      </w:r>
    </w:p>
    <w:p>
      <w:pPr>
        <w:numPr>
          <w:ilvl w:val="0"/>
          <w:numId w:val="1001"/>
        </w:numPr>
        <w:pStyle w:val="Compact"/>
      </w:pPr>
      <w:r>
        <w:t xml:space="preserve">To assess compliance with the Florida Bar Rules of Professional Conduct.</w:t>
      </w:r>
    </w:p>
    <w:p>
      <w:pPr>
        <w:numPr>
          <w:ilvl w:val="0"/>
          <w:numId w:val="1001"/>
        </w:numPr>
        <w:pStyle w:val="Compact"/>
      </w:pPr>
      <w:r>
        <w:t xml:space="preserve">To measure client satisfaction and communication effectiveness.</w:t>
      </w:r>
    </w:p>
    <w:p>
      <w:pPr>
        <w:numPr>
          <w:ilvl w:val="0"/>
          <w:numId w:val="1001"/>
        </w:numPr>
        <w:pStyle w:val="Compact"/>
      </w:pPr>
      <w:r>
        <w:t xml:space="preserve">To identify areas for improvement in legal service delivery within the Miami metropolitan area.</w:t>
      </w:r>
    </w:p>
    <w:bookmarkEnd w:id="21"/>
    <w:bookmarkStart w:id="22" w:name="scope"/>
    <w:p>
      <w:pPr>
        <w:pStyle w:val="Heading2"/>
      </w:pPr>
      <w:r>
        <w:t xml:space="preserve">3. Scope</w:t>
      </w:r>
    </w:p>
    <w:p>
      <w:pPr>
        <w:pStyle w:val="FirstParagraph"/>
      </w:pPr>
      <w:r>
        <w:t xml:space="preserve">This protocol applies to all licensed lawyers practicing in Miami, United States, including those in private practice, corporate legal departments, government agencies, and non-profit organizations. The evaluation will cover civil, criminal, family, immigration, and business law practices commonly encountered in the Miami region.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Lawyers will be selected through a stratified random sampling method to ensure representation across different practice areas and firm sizes. The sample will include:</w:t>
      </w:r>
    </w:p>
    <w:p>
      <w:pPr>
        <w:numPr>
          <w:ilvl w:val="0"/>
          <w:numId w:val="1002"/>
        </w:numPr>
        <w:pStyle w:val="Compact"/>
      </w:pPr>
      <w:r>
        <w:t xml:space="preserve">At least 100 lawyers from solo practices.</w:t>
      </w:r>
    </w:p>
    <w:p>
      <w:pPr>
        <w:numPr>
          <w:ilvl w:val="0"/>
          <w:numId w:val="1002"/>
        </w:numPr>
        <w:pStyle w:val="Compact"/>
      </w:pPr>
      <w:r>
        <w:t xml:space="preserve">At least 150 lawyers from small to mid-sized firms.</w:t>
      </w:r>
    </w:p>
    <w:p>
      <w:pPr>
        <w:numPr>
          <w:ilvl w:val="0"/>
          <w:numId w:val="1002"/>
        </w:numPr>
        <w:pStyle w:val="Compact"/>
      </w:pPr>
      <w:r>
        <w:t xml:space="preserve">At least 100 lawyers from large corporate firms.</w:t>
      </w:r>
    </w:p>
    <w:bookmarkEnd w:id="23"/>
    <w:bookmarkStart w:id="24" w:name="data-collection-methods"/>
    <w:p>
      <w:pPr>
        <w:pStyle w:val="Heading3"/>
      </w:pPr>
      <w:r>
        <w:t xml:space="preserve">4.2 Data Collection Methods</w:t>
      </w:r>
    </w:p>
    <w:p>
      <w:pPr>
        <w:pStyle w:val="FirstParagraph"/>
      </w:pPr>
      <w:r>
        <w:t xml:space="preserve">Data will be collected through multiple sources to ensure comprehensive evaluation:</w:t>
      </w:r>
    </w:p>
    <w:p>
      <w:pPr>
        <w:numPr>
          <w:ilvl w:val="0"/>
          <w:numId w:val="1003"/>
        </w:numPr>
        <w:pStyle w:val="Compact"/>
      </w:pPr>
      <w:r>
        <w:t xml:space="preserve">Client surveys assessing satisfaction, communication, and outcomes.</w:t>
      </w:r>
    </w:p>
    <w:p>
      <w:pPr>
        <w:numPr>
          <w:ilvl w:val="0"/>
          <w:numId w:val="1003"/>
        </w:numPr>
        <w:pStyle w:val="Compact"/>
      </w:pPr>
      <w:r>
        <w:t xml:space="preserve">Peer reviews evaluating professional competence and ethical behavior.</w:t>
      </w:r>
    </w:p>
    <w:p>
      <w:pPr>
        <w:numPr>
          <w:ilvl w:val="0"/>
          <w:numId w:val="1003"/>
        </w:numPr>
        <w:pStyle w:val="Compact"/>
      </w:pPr>
      <w:r>
        <w:t xml:space="preserve">Case file audits to assess documentation quality and procedural compliance.</w:t>
      </w:r>
    </w:p>
    <w:p>
      <w:pPr>
        <w:numPr>
          <w:ilvl w:val="0"/>
          <w:numId w:val="1003"/>
        </w:numPr>
        <w:pStyle w:val="Compact"/>
      </w:pPr>
      <w:r>
        <w:t xml:space="preserve">Interviews with lawyers to understand challenges and best practices.</w:t>
      </w:r>
    </w:p>
    <w:bookmarkEnd w:id="24"/>
    <w:bookmarkStart w:id="25" w:name="evaluation-criteria"/>
    <w:p>
      <w:pPr>
        <w:pStyle w:val="Heading3"/>
      </w:pPr>
      <w:r>
        <w:t xml:space="preserve">4.3 Evaluation Criteria</w:t>
      </w:r>
    </w:p>
    <w:p>
      <w:pPr>
        <w:pStyle w:val="FirstParagraph"/>
      </w:pPr>
      <w:r>
        <w:t xml:space="preserve">Lawyers will be evaluated based on the following criteria:</w:t>
      </w:r>
    </w:p>
    <w:p>
      <w:pPr>
        <w:numPr>
          <w:ilvl w:val="0"/>
          <w:numId w:val="1004"/>
        </w:numPr>
        <w:pStyle w:val="Compact"/>
      </w:pPr>
      <w:r>
        <w:t xml:space="preserve">Legal knowledge and analytical skills.</w:t>
      </w:r>
    </w:p>
    <w:p>
      <w:pPr>
        <w:numPr>
          <w:ilvl w:val="0"/>
          <w:numId w:val="1004"/>
        </w:numPr>
        <w:pStyle w:val="Compact"/>
      </w:pPr>
      <w:r>
        <w:t xml:space="preserve">Communication effectiveness with clients and opposing counsel.</w:t>
      </w:r>
    </w:p>
    <w:p>
      <w:pPr>
        <w:numPr>
          <w:ilvl w:val="0"/>
          <w:numId w:val="1004"/>
        </w:numPr>
        <w:pStyle w:val="Compact"/>
      </w:pPr>
      <w:r>
        <w:t xml:space="preserve">Timeliness and efficiency in case management.</w:t>
      </w:r>
    </w:p>
    <w:p>
      <w:pPr>
        <w:numPr>
          <w:ilvl w:val="0"/>
          <w:numId w:val="1004"/>
        </w:numPr>
        <w:pStyle w:val="Compact"/>
      </w:pPr>
      <w:r>
        <w:t xml:space="preserve">Adherence to ethical standards and confidentiality requirements.</w:t>
      </w:r>
    </w:p>
    <w:p>
      <w:pPr>
        <w:numPr>
          <w:ilvl w:val="0"/>
          <w:numId w:val="1004"/>
        </w:numPr>
        <w:pStyle w:val="Compact"/>
      </w:pPr>
      <w:r>
        <w:t xml:space="preserve">Client relationship management and responsiveness.</w:t>
      </w:r>
    </w:p>
    <w:bookmarkEnd w:id="25"/>
    <w:bookmarkEnd w:id="26"/>
    <w:bookmarkStart w:id="30" w:name="procedures"/>
    <w:p>
      <w:pPr>
        <w:pStyle w:val="Heading2"/>
      </w:pPr>
      <w:r>
        <w:t xml:space="preserve">5. Procedures</w:t>
      </w:r>
    </w:p>
    <w:bookmarkStart w:id="27" w:name="preparation-phase"/>
    <w:p>
      <w:pPr>
        <w:pStyle w:val="Heading3"/>
      </w:pPr>
      <w:r>
        <w:t xml:space="preserve">5.1 Preparation Phase</w:t>
      </w:r>
    </w:p>
    <w:p>
      <w:pPr>
        <w:pStyle w:val="FirstParagraph"/>
      </w:pPr>
      <w:r>
        <w:t xml:space="preserve">Before data collection begins, the following steps will be completed:</w:t>
      </w:r>
    </w:p>
    <w:p>
      <w:pPr>
        <w:numPr>
          <w:ilvl w:val="0"/>
          <w:numId w:val="1005"/>
        </w:numPr>
        <w:pStyle w:val="Compact"/>
      </w:pPr>
      <w:r>
        <w:t xml:space="preserve">Obtain necessary approvals from the Florida Bar and relevant legal authorities.</w:t>
      </w:r>
    </w:p>
    <w:p>
      <w:pPr>
        <w:numPr>
          <w:ilvl w:val="0"/>
          <w:numId w:val="1005"/>
        </w:numPr>
        <w:pStyle w:val="Compact"/>
      </w:pPr>
      <w:r>
        <w:t xml:space="preserve">Develop and validate survey instruments and evaluation forms.</w:t>
      </w:r>
    </w:p>
    <w:p>
      <w:pPr>
        <w:numPr>
          <w:ilvl w:val="0"/>
          <w:numId w:val="1005"/>
        </w:numPr>
        <w:pStyle w:val="Compact"/>
      </w:pPr>
      <w:r>
        <w:t xml:space="preserve">Train data collectors on ethical guidelines and confidentiality requirements.</w:t>
      </w:r>
    </w:p>
    <w:p>
      <w:pPr>
        <w:numPr>
          <w:ilvl w:val="0"/>
          <w:numId w:val="1005"/>
        </w:numPr>
        <w:pStyle w:val="Compact"/>
      </w:pPr>
      <w:r>
        <w:t xml:space="preserve">Establish secure data storage systems to protect sensitive information.</w:t>
      </w:r>
    </w:p>
    <w:bookmarkEnd w:id="27"/>
    <w:bookmarkStart w:id="28" w:name="implementation-phase"/>
    <w:p>
      <w:pPr>
        <w:pStyle w:val="Heading3"/>
      </w:pPr>
      <w:r>
        <w:t xml:space="preserve">5.2 Implementation Phase</w:t>
      </w:r>
    </w:p>
    <w:p>
      <w:pPr>
        <w:pStyle w:val="FirstParagraph"/>
      </w:pPr>
      <w:r>
        <w:t xml:space="preserve">During the implementation phase, the following activities will occur:</w:t>
      </w:r>
    </w:p>
    <w:p>
      <w:pPr>
        <w:numPr>
          <w:ilvl w:val="0"/>
          <w:numId w:val="1006"/>
        </w:numPr>
        <w:pStyle w:val="Compact"/>
      </w:pPr>
      <w:r>
        <w:t xml:space="preserve">Distribute client surveys through secure online platforms.</w:t>
      </w:r>
    </w:p>
    <w:p>
      <w:pPr>
        <w:numPr>
          <w:ilvl w:val="0"/>
          <w:numId w:val="1006"/>
        </w:numPr>
        <w:pStyle w:val="Compact"/>
      </w:pPr>
      <w:r>
        <w:t xml:space="preserve">Conduct peer review sessions with participating lawyers.</w:t>
      </w:r>
    </w:p>
    <w:p>
      <w:pPr>
        <w:numPr>
          <w:ilvl w:val="0"/>
          <w:numId w:val="1006"/>
        </w:numPr>
        <w:pStyle w:val="Compact"/>
      </w:pPr>
      <w:r>
        <w:t xml:space="preserve">Perform random case file audits in compliance with privacy laws.</w:t>
      </w:r>
    </w:p>
    <w:p>
      <w:pPr>
        <w:numPr>
          <w:ilvl w:val="0"/>
          <w:numId w:val="1006"/>
        </w:numPr>
        <w:pStyle w:val="Compact"/>
      </w:pPr>
      <w:r>
        <w:t xml:space="preserve">Schedule and conduct interviews with selected lawyers.</w:t>
      </w:r>
    </w:p>
    <w:bookmarkEnd w:id="28"/>
    <w:bookmarkStart w:id="29" w:name="data-analysis-phase"/>
    <w:p>
      <w:pPr>
        <w:pStyle w:val="Heading3"/>
      </w:pPr>
      <w:r>
        <w:t xml:space="preserve">5.3 Data Analysis Phase</w:t>
      </w:r>
    </w:p>
    <w:p>
      <w:pPr>
        <w:pStyle w:val="FirstParagraph"/>
      </w:pPr>
      <w:r>
        <w:t xml:space="preserve">Collected data will be analyzed using statistical methods to identify patterns, trends, and areas of concern. Qualitative data from interviews and open-ended survey responses will be coded and thematically analyzed.</w:t>
      </w:r>
    </w:p>
    <w:bookmarkEnd w:id="29"/>
    <w:bookmarkEnd w:id="30"/>
    <w:bookmarkStart w:id="31" w:name="ethical-considerations"/>
    <w:p>
      <w:pPr>
        <w:pStyle w:val="Heading2"/>
      </w:pPr>
      <w:r>
        <w:t xml:space="preserve">6. Ethical Considerations</w:t>
      </w:r>
    </w:p>
    <w:p>
      <w:pPr>
        <w:pStyle w:val="FirstParagraph"/>
      </w:pPr>
      <w:r>
        <w:t xml:space="preserve">This experiment will adhere to strict ethical guidelines to protect the rights and privacy of all participants:</w:t>
      </w:r>
    </w:p>
    <w:p>
      <w:pPr>
        <w:numPr>
          <w:ilvl w:val="0"/>
          <w:numId w:val="1007"/>
        </w:numPr>
        <w:pStyle w:val="Compact"/>
      </w:pPr>
      <w:r>
        <w:t xml:space="preserve">Informed consent will be obtained from all participating lawyers and clients.</w:t>
      </w:r>
    </w:p>
    <w:p>
      <w:pPr>
        <w:numPr>
          <w:ilvl w:val="0"/>
          <w:numId w:val="1007"/>
        </w:numPr>
        <w:pStyle w:val="Compact"/>
      </w:pPr>
      <w:r>
        <w:t xml:space="preserve">All data will be anonymized to protect individual identities.</w:t>
      </w:r>
    </w:p>
    <w:p>
      <w:pPr>
        <w:numPr>
          <w:ilvl w:val="0"/>
          <w:numId w:val="1007"/>
        </w:numPr>
        <w:pStyle w:val="Compact"/>
      </w:pPr>
      <w:r>
        <w:t xml:space="preserve">Confidentiality agreements will be signed by all data collectors and analysts.</w:t>
      </w:r>
    </w:p>
    <w:p>
      <w:pPr>
        <w:numPr>
          <w:ilvl w:val="0"/>
          <w:numId w:val="1007"/>
        </w:numPr>
        <w:pStyle w:val="Compact"/>
      </w:pPr>
      <w:r>
        <w:t xml:space="preserve">Participants will have the right to withdraw from the study at any time.</w:t>
      </w:r>
    </w:p>
    <w:bookmarkEnd w:id="31"/>
    <w:bookmarkStart w:id="32" w:name="timeline"/>
    <w:p>
      <w:pPr>
        <w:pStyle w:val="Heading2"/>
      </w:pPr>
      <w:r>
        <w:t xml:space="preserve">7. Timeline</w:t>
      </w:r>
    </w:p>
    <w:p>
      <w:pPr>
        <w:pStyle w:val="FirstParagraph"/>
      </w:pPr>
      <w:r>
        <w:t xml:space="preserve">The experiment will be conducted over a period of 12 months:</w:t>
      </w:r>
    </w:p>
    <w:p>
      <w:pPr>
        <w:numPr>
          <w:ilvl w:val="0"/>
          <w:numId w:val="1008"/>
        </w:numPr>
        <w:pStyle w:val="Compact"/>
      </w:pPr>
      <w:r>
        <w:t xml:space="preserve">Months 1-2: Preparation and approval processes.</w:t>
      </w:r>
    </w:p>
    <w:p>
      <w:pPr>
        <w:numPr>
          <w:ilvl w:val="0"/>
          <w:numId w:val="1008"/>
        </w:numPr>
        <w:pStyle w:val="Compact"/>
      </w:pPr>
      <w:r>
        <w:t xml:space="preserve">Months 3-8: Data collection.</w:t>
      </w:r>
    </w:p>
    <w:p>
      <w:pPr>
        <w:numPr>
          <w:ilvl w:val="0"/>
          <w:numId w:val="1008"/>
        </w:numPr>
        <w:pStyle w:val="Compact"/>
      </w:pPr>
      <w:r>
        <w:t xml:space="preserve">Months 9-10: Data analysis.</w:t>
      </w:r>
    </w:p>
    <w:p>
      <w:pPr>
        <w:numPr>
          <w:ilvl w:val="0"/>
          <w:numId w:val="1008"/>
        </w:numPr>
        <w:pStyle w:val="Compact"/>
      </w:pPr>
      <w:r>
        <w:t xml:space="preserve">Months 11-12: Reporting and recommendations.</w:t>
      </w:r>
    </w:p>
    <w:bookmarkEnd w:id="32"/>
    <w:bookmarkStart w:id="33" w:name="expected-outcomes"/>
    <w:p>
      <w:pPr>
        <w:pStyle w:val="Heading2"/>
      </w:pPr>
      <w:r>
        <w:t xml:space="preserve">8. Expected Outcomes</w:t>
      </w:r>
    </w:p>
    <w:p>
      <w:pPr>
        <w:pStyle w:val="FirstParagraph"/>
      </w:pPr>
      <w:r>
        <w:t xml:space="preserve">This experiment aims to produce:</w:t>
      </w:r>
    </w:p>
    <w:p>
      <w:pPr>
        <w:numPr>
          <w:ilvl w:val="0"/>
          <w:numId w:val="1009"/>
        </w:numPr>
        <w:pStyle w:val="Compact"/>
      </w:pPr>
      <w:r>
        <w:t xml:space="preserve">A comprehensive report on the current state of legal practice in Miami.</w:t>
      </w:r>
    </w:p>
    <w:p>
      <w:pPr>
        <w:numPr>
          <w:ilvl w:val="0"/>
          <w:numId w:val="1009"/>
        </w:numPr>
        <w:pStyle w:val="Compact"/>
      </w:pPr>
      <w:r>
        <w:t xml:space="preserve">Identified best practices for lawyers in the region.</w:t>
      </w:r>
    </w:p>
    <w:p>
      <w:pPr>
        <w:numPr>
          <w:ilvl w:val="0"/>
          <w:numId w:val="1009"/>
        </w:numPr>
        <w:pStyle w:val="Compact"/>
      </w:pPr>
      <w:r>
        <w:t xml:space="preserve">Recommendations for improving legal service quality and client satisfaction.</w:t>
      </w:r>
    </w:p>
    <w:p>
      <w:pPr>
        <w:numPr>
          <w:ilvl w:val="0"/>
          <w:numId w:val="1009"/>
        </w:numPr>
        <w:pStyle w:val="Compact"/>
      </w:pPr>
      <w:r>
        <w:t xml:space="preserve">Insights into challenges faced by lawyers practicing in Miami's unique legal environment.</w:t>
      </w:r>
    </w:p>
    <w:bookmarkEnd w:id="33"/>
    <w:bookmarkStart w:id="34" w:name="conclusion"/>
    <w:p>
      <w:pPr>
        <w:pStyle w:val="Heading2"/>
      </w:pPr>
      <w:r>
        <w:t xml:space="preserve">9. Conclusion</w:t>
      </w:r>
    </w:p>
    <w:p>
      <w:pPr>
        <w:pStyle w:val="FirstParagraph"/>
      </w:pPr>
      <w:r>
        <w:t xml:space="preserve">This Experiment Protocol provides a structured approach to evaluating the performance and standards of lawyers in Miami, United States. By implementing this protocol, we aim to enhance the quality of legal services, promote ethical practice, and ultimately serve the best interests of clients in the Miami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Miami</dc:title>
  <dc:creator/>
  <dc:language>en</dc:language>
  <cp:keywords/>
  <dcterms:created xsi:type="dcterms:W3CDTF">2026-10-10T02:42:46Z</dcterms:created>
  <dcterms:modified xsi:type="dcterms:W3CDTF">2026-10-10T02:42:46Z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