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Optimization</w:t>
      </w:r>
      <w:r>
        <w:t xml:space="preserve"> </w:t>
      </w:r>
      <w:r>
        <w:t xml:space="preserve">in</w:t>
      </w:r>
      <w:r>
        <w:t xml:space="preserve"> </w:t>
      </w:r>
      <w:r>
        <w:t xml:space="preserve">San</w:t>
      </w:r>
      <w:r>
        <w:t xml:space="preserve"> </w:t>
      </w:r>
      <w:r>
        <w:t xml:space="preserve">Francisco</w:t>
      </w:r>
    </w:p>
    <w:bookmarkStart w:id="33" w:name="X9f5f9269c6328133b3c22f87de6192e529cc595"/>
    <w:p>
      <w:pPr>
        <w:pStyle w:val="Heading1"/>
      </w:pPr>
      <w:r>
        <w:t xml:space="preserve">Experiment Protocol: Comparative Analysis of Legal Service Delivery Models</w:t>
      </w:r>
    </w:p>
    <w:p>
      <w:pPr>
        <w:pStyle w:val="FirstParagraph"/>
      </w:pPr>
      <w:r>
        <w:rPr>
          <w:bCs/>
          <w:b/>
        </w:rPr>
        <w:t xml:space="preserve">Protocol ID:</w:t>
      </w:r>
      <w:r>
        <w:t xml:space="preserve"> </w:t>
      </w:r>
      <w:r>
        <w:t xml:space="preserve">SF-LEGAL-EXP-2024-001</w:t>
      </w:r>
    </w:p>
    <w:p>
      <w:pPr>
        <w:pStyle w:val="BodyText"/>
      </w:pPr>
      <w:r>
        <w:rPr>
          <w:bCs/>
          <w:b/>
        </w:rPr>
        <w:t xml:space="preserve">Location:</w:t>
      </w:r>
      <w:r>
        <w:t xml:space="preserve"> </w:t>
      </w:r>
      <w:r>
        <w:t xml:space="preserve">United States, San Francisco, California</w:t>
      </w:r>
    </w:p>
    <w:p>
      <w:pPr>
        <w:pStyle w:val="BodyText"/>
      </w:pPr>
      <w:r>
        <w:rPr>
          <w:bCs/>
          <w:b/>
        </w:rPr>
        <w:t xml:space="preserve">Subject:</w:t>
      </w:r>
      <w:r>
        <w:t xml:space="preserve"> </w:t>
      </w:r>
      <w:r>
        <w:t xml:space="preserve">Lawyer Performance and Client Satisfaction Metrics</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legal landscape in the United States is undergoing a significant transformation driven by technological advancement and shifting client expectations. San Francisco, as a global hub for technology and innovation, presents a unique environment for analyzing these changes. This Experiment Protocol outlines a structured methodology to evaluate the efficacy of different legal service delivery models employed by a Lawyer operating within the jurisdiction of San Francisco.</w:t>
      </w:r>
    </w:p>
    <w:p>
      <w:pPr>
        <w:pStyle w:val="BodyText"/>
      </w:pPr>
      <w:r>
        <w:t xml:space="preserve">The primary objective is to determine whether the integration of automated legal tech tools alongside traditional advocacy methods improves case resolution times and client satisfaction scores compared to traditional methods alone. Given the high cost of living and the competitive nature of the legal market in San Francisco, optimizing the Lawyer's workflow is not merely an operational preference but a necessity for sustainable practice.</w:t>
      </w:r>
    </w:p>
    <w:bookmarkEnd w:id="20"/>
    <w:bookmarkStart w:id="21" w:name="objectives"/>
    <w:p>
      <w:pPr>
        <w:pStyle w:val="Heading2"/>
      </w:pPr>
      <w:r>
        <w:t xml:space="preserve">2. Objectives</w:t>
      </w:r>
    </w:p>
    <w:p>
      <w:pPr>
        <w:pStyle w:val="FirstParagraph"/>
      </w:pPr>
      <w:r>
        <w:t xml:space="preserve">This experiment aims to achieve the following specific goals within the context of the San Francisco legal market:</w:t>
      </w:r>
    </w:p>
    <w:p>
      <w:pPr>
        <w:numPr>
          <w:ilvl w:val="0"/>
          <w:numId w:val="1001"/>
        </w:numPr>
        <w:pStyle w:val="Compact"/>
      </w:pPr>
      <w:r>
        <w:t xml:space="preserve">To quantify the impact of AI-assisted document review on the efficiency of a Lawyer handling civil litigation cases in San Francisco Superior Court.</w:t>
      </w:r>
    </w:p>
    <w:p>
      <w:pPr>
        <w:numPr>
          <w:ilvl w:val="0"/>
          <w:numId w:val="1001"/>
        </w:numPr>
        <w:pStyle w:val="Compact"/>
      </w:pPr>
      <w:r>
        <w:t xml:space="preserve">To assess client perception of responsiveness and transparency when a Lawyer utilizes real-time digital case management platforms.</w:t>
      </w:r>
    </w:p>
    <w:p>
      <w:pPr>
        <w:numPr>
          <w:ilvl w:val="0"/>
          <w:numId w:val="1001"/>
        </w:numPr>
        <w:pStyle w:val="Compact"/>
      </w:pPr>
      <w:r>
        <w:t xml:space="preserve">To analyze the correlation between reduced administrative overhead and the Lawyer's ability to dedicate time to complex strategic planning.</w:t>
      </w:r>
    </w:p>
    <w:p>
      <w:pPr>
        <w:numPr>
          <w:ilvl w:val="0"/>
          <w:numId w:val="1001"/>
        </w:numPr>
        <w:pStyle w:val="Compact"/>
      </w:pPr>
      <w:r>
        <w:t xml:space="preserve">To ensure all experimental procedures adhere strictly to the Rules of Professional Conduct established by the State Bar of California.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utilize a randomized controlled trial (RCT) design. The experiment will be conducted over a period of six months. The target population consists of clients seeking legal representation for standard civil matters, such as contract disputes and tenant-landlord issues, which are prevalent in the San Francisco area.</w:t>
      </w:r>
    </w:p>
    <w:bookmarkEnd w:id="22"/>
    <w:bookmarkStart w:id="23" w:name="participant-selection"/>
    <w:p>
      <w:pPr>
        <w:pStyle w:val="Heading3"/>
      </w:pPr>
      <w:r>
        <w:t xml:space="preserve">3.2 Participant Selection</w:t>
      </w:r>
    </w:p>
    <w:p>
      <w:pPr>
        <w:pStyle w:val="FirstParagraph"/>
      </w:pPr>
      <w:r>
        <w:t xml:space="preserve">Participants will be recruited from the San Francisco Bay Area. Eligibility criteria include:</w:t>
      </w:r>
    </w:p>
    <w:p>
      <w:pPr>
        <w:numPr>
          <w:ilvl w:val="0"/>
          <w:numId w:val="1002"/>
        </w:numPr>
        <w:pStyle w:val="Compact"/>
      </w:pPr>
      <w:r>
        <w:t xml:space="preserve">Residency or business operation within San Francisco County.</w:t>
      </w:r>
    </w:p>
    <w:p>
      <w:pPr>
        <w:numPr>
          <w:ilvl w:val="0"/>
          <w:numId w:val="1002"/>
        </w:numPr>
        <w:pStyle w:val="Compact"/>
      </w:pPr>
      <w:r>
        <w:t xml:space="preserve">Legal issues falling within the scope of the participating Lawyer's expertise.</w:t>
      </w:r>
    </w:p>
    <w:p>
      <w:pPr>
        <w:numPr>
          <w:ilvl w:val="0"/>
          <w:numId w:val="1002"/>
        </w:numPr>
        <w:pStyle w:val="Compact"/>
      </w:pPr>
      <w:r>
        <w:t xml:space="preserve">Provision of informed consent regarding the data collection aspects of the experiment.</w:t>
      </w:r>
    </w:p>
    <w:p>
      <w:pPr>
        <w:pStyle w:val="FirstParagraph"/>
      </w:pPr>
      <w:r>
        <w:t xml:space="preserve">Participants will be randomly assigned to one of two groups: the Control Group or the Experimental Group.</w:t>
      </w:r>
    </w:p>
    <w:bookmarkEnd w:id="23"/>
    <w:bookmarkStart w:id="24" w:name="group-definitions"/>
    <w:p>
      <w:pPr>
        <w:pStyle w:val="Heading3"/>
      </w:pPr>
      <w:r>
        <w:t xml:space="preserve">3.3 Group Definitions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Group</w:t>
            </w:r>
          </w:p>
        </w:tc>
        <w:tc>
          <w:tcPr/>
          <w:p>
            <w:pPr>
              <w:pStyle w:val="Compact"/>
              <w:jc w:val="left"/>
            </w:pPr>
            <w:r>
              <w:t xml:space="preserve">Description</w:t>
            </w:r>
          </w:p>
        </w:tc>
      </w:tr>
      <w:tr>
        <w:tc>
          <w:tcPr/>
          <w:p>
            <w:pPr>
              <w:pStyle w:val="Compact"/>
              <w:jc w:val="left"/>
            </w:pPr>
            <w:r>
              <w:rPr>
                <w:bCs/>
                <w:b/>
              </w:rPr>
              <w:t xml:space="preserve">Control Group</w:t>
            </w:r>
          </w:p>
        </w:tc>
        <w:tc>
          <w:tcPr/>
          <w:p>
            <w:pPr>
              <w:pStyle w:val="Compact"/>
              <w:jc w:val="left"/>
            </w:pPr>
            <w:r>
              <w:t xml:space="preserve">Clients represented by the Lawyer using traditional methods. Communication occurs via standard email and phone calls. Document review and discovery are conducted manually without AI assistance.</w:t>
            </w:r>
          </w:p>
        </w:tc>
      </w:tr>
      <w:tr>
        <w:tc>
          <w:tcPr/>
          <w:p>
            <w:pPr>
              <w:pStyle w:val="Compact"/>
              <w:jc w:val="left"/>
            </w:pPr>
            <w:r>
              <w:rPr>
                <w:bCs/>
                <w:b/>
              </w:rPr>
              <w:t xml:space="preserve">Experimental Group</w:t>
            </w:r>
          </w:p>
        </w:tc>
        <w:tc>
          <w:tcPr/>
          <w:p>
            <w:pPr>
              <w:pStyle w:val="Compact"/>
              <w:jc w:val="left"/>
            </w:pPr>
            <w:r>
              <w:t xml:space="preserve">Clients represented by the Lawyer using an integrated tech stack. This includes AI-driven contract analysis, automated scheduling, and a secure client portal for real-time case updates specific to San Francisco court filings.</w:t>
            </w:r>
          </w:p>
        </w:tc>
      </w:tr>
    </w:tbl>
    <w:bookmarkEnd w:id="24"/>
    <w:bookmarkEnd w:id="25"/>
    <w:bookmarkStart w:id="29" w:name="procedures"/>
    <w:p>
      <w:pPr>
        <w:pStyle w:val="Heading2"/>
      </w:pPr>
      <w:r>
        <w:t xml:space="preserve">4. Procedures</w:t>
      </w:r>
    </w:p>
    <w:bookmarkStart w:id="26" w:name="phase-1-onboarding-and-consent"/>
    <w:p>
      <w:pPr>
        <w:pStyle w:val="Heading3"/>
      </w:pPr>
      <w:r>
        <w:t xml:space="preserve">4.1 Phase 1: Onboarding and Consent</w:t>
      </w:r>
    </w:p>
    <w:p>
      <w:pPr>
        <w:pStyle w:val="FirstParagraph"/>
      </w:pPr>
      <w:r>
        <w:t xml:space="preserve">Upon initial consultation, the Lawyer will explain the nature of the experiment to the client. It is crucial to emphasize that the quality of legal representation will not be compromised. Informed consent forms will be signed, ensuring compliance with privacy laws in the United States and California.</w:t>
      </w:r>
    </w:p>
    <w:bookmarkEnd w:id="26"/>
    <w:bookmarkStart w:id="27" w:name="phase-2-implementation"/>
    <w:p>
      <w:pPr>
        <w:pStyle w:val="Heading3"/>
      </w:pPr>
      <w:r>
        <w:t xml:space="preserve">4.2 Phase 2: Implementation</w:t>
      </w:r>
    </w:p>
    <w:p>
      <w:pPr>
        <w:pStyle w:val="FirstParagraph"/>
      </w:pPr>
      <w:r>
        <w:t xml:space="preserve">The Lawyer will manage both groups simultaneously. For the Experimental Group, the Lawyer will utilize specific software tools to streamline discovery and document drafting. For the Control Group, the Lawyer will adhere to conventional workflows. All interactions will be logged to measure response times and frequency of communication.</w:t>
      </w:r>
    </w:p>
    <w:bookmarkEnd w:id="27"/>
    <w:bookmarkStart w:id="28" w:name="phase-3-data-collection"/>
    <w:p>
      <w:pPr>
        <w:pStyle w:val="Heading3"/>
      </w:pPr>
      <w:r>
        <w:t xml:space="preserve">4.3 Phase 3: Data Collection</w:t>
      </w:r>
    </w:p>
    <w:p>
      <w:pPr>
        <w:pStyle w:val="FirstParagraph"/>
      </w:pPr>
      <w:r>
        <w:t xml:space="preserve">Data will be collected at three intervals: 30 days, 90 days, and at case closure. Metrics include:</w:t>
      </w:r>
    </w:p>
    <w:p>
      <w:pPr>
        <w:numPr>
          <w:ilvl w:val="0"/>
          <w:numId w:val="1003"/>
        </w:numPr>
        <w:pStyle w:val="Compact"/>
      </w:pPr>
      <w:r>
        <w:rPr>
          <w:bCs/>
          <w:b/>
        </w:rPr>
        <w:t xml:space="preserve">Time Efficiency:</w:t>
      </w:r>
      <w:r>
        <w:t xml:space="preserve"> </w:t>
      </w:r>
      <w:r>
        <w:t xml:space="preserve">Hours spent per case by the Lawyer.</w:t>
      </w:r>
    </w:p>
    <w:p>
      <w:pPr>
        <w:numPr>
          <w:ilvl w:val="0"/>
          <w:numId w:val="1003"/>
        </w:numPr>
        <w:pStyle w:val="Compact"/>
      </w:pPr>
      <w:r>
        <w:rPr>
          <w:bCs/>
          <w:b/>
        </w:rPr>
        <w:t xml:space="preserve">Cost Efficiency:</w:t>
      </w:r>
      <w:r>
        <w:t xml:space="preserve"> </w:t>
      </w:r>
      <w:r>
        <w:t xml:space="preserve">Total billable hours versus fixed fees.</w:t>
      </w:r>
    </w:p>
    <w:p>
      <w:pPr>
        <w:numPr>
          <w:ilvl w:val="0"/>
          <w:numId w:val="1003"/>
        </w:numPr>
        <w:pStyle w:val="Compact"/>
      </w:pPr>
      <w:r>
        <w:rPr>
          <w:bCs/>
          <w:b/>
        </w:rPr>
        <w:t xml:space="preserve">Client Satisfaction:</w:t>
      </w:r>
      <w:r>
        <w:t xml:space="preserve"> </w:t>
      </w:r>
      <w:r>
        <w:t xml:space="preserve">Survey results based on a Likert scale.</w:t>
      </w:r>
    </w:p>
    <w:p>
      <w:pPr>
        <w:numPr>
          <w:ilvl w:val="0"/>
          <w:numId w:val="1003"/>
        </w:numPr>
        <w:pStyle w:val="Compact"/>
      </w:pPr>
      <w:r>
        <w:rPr>
          <w:bCs/>
          <w:b/>
        </w:rPr>
        <w:t xml:space="preserve">Outcome Quality:</w:t>
      </w:r>
      <w:r>
        <w:t xml:space="preserve"> </w:t>
      </w:r>
      <w:r>
        <w:t xml:space="preserve">Success rate of motions filed in San Francisco courts.</w:t>
      </w:r>
    </w:p>
    <w:bookmarkEnd w:id="28"/>
    <w:bookmarkEnd w:id="29"/>
    <w:bookmarkStart w:id="30" w:name="ethical-considerations-and-compliance"/>
    <w:p>
      <w:pPr>
        <w:pStyle w:val="Heading2"/>
      </w:pPr>
      <w:r>
        <w:t xml:space="preserve">5. Ethical Considerations and Compliance</w:t>
      </w:r>
    </w:p>
    <w:p>
      <w:pPr>
        <w:pStyle w:val="FirstParagraph"/>
      </w:pPr>
      <w:r>
        <w:t xml:space="preserve">Operating in San Francisco requires strict adherence to local and state regulations. The Lawyer must ensure that the use of technology does not violate attorney-client privilege. All data collected during this experiment will be encrypted and stored on secure servers located within the United States.</w:t>
      </w:r>
    </w:p>
    <w:p>
      <w:pPr>
        <w:pStyle w:val="BodyText"/>
      </w:pPr>
      <w:r>
        <w:t xml:space="preserve">Furthermore, the experiment must respect the California Consumer Privacy Act (CCPA). Clients must have the right to withdraw from the experiment at any time without affecting their legal representation. The Lawyer is responsible for maintaining the highest standards of professional conduct as defined by the State Bar of California.</w:t>
      </w:r>
    </w:p>
    <w:bookmarkEnd w:id="30"/>
    <w:bookmarkStart w:id="31" w:name="risk-management"/>
    <w:p>
      <w:pPr>
        <w:pStyle w:val="Heading2"/>
      </w:pPr>
      <w:r>
        <w:t xml:space="preserve">6. Risk Management</w:t>
      </w:r>
    </w:p>
    <w:p>
      <w:pPr>
        <w:pStyle w:val="FirstParagraph"/>
      </w:pPr>
      <w:r>
        <w:t xml:space="preserve">Potential risks include data breaches, client confusion regarding the experimental nature of the service, and technical failures. Mitigation strategies include:</w:t>
      </w:r>
    </w:p>
    <w:p>
      <w:pPr>
        <w:numPr>
          <w:ilvl w:val="0"/>
          <w:numId w:val="1004"/>
        </w:numPr>
        <w:pStyle w:val="Compact"/>
      </w:pPr>
      <w:r>
        <w:t xml:space="preserve">Implementing multi-factor authentication for all digital tools.</w:t>
      </w:r>
    </w:p>
    <w:p>
      <w:pPr>
        <w:numPr>
          <w:ilvl w:val="0"/>
          <w:numId w:val="1004"/>
        </w:numPr>
        <w:pStyle w:val="Compact"/>
      </w:pPr>
      <w:r>
        <w:t xml:space="preserve">Providing clear, written explanations to clients about the process.</w:t>
      </w:r>
    </w:p>
    <w:p>
      <w:pPr>
        <w:numPr>
          <w:ilvl w:val="0"/>
          <w:numId w:val="1004"/>
        </w:numPr>
        <w:pStyle w:val="Compact"/>
      </w:pPr>
      <w:r>
        <w:t xml:space="preserve">Maintaining manual backups of all critical legal documents.</w:t>
      </w:r>
    </w:p>
    <w:bookmarkEnd w:id="31"/>
    <w:bookmarkStart w:id="32" w:name="conclusion"/>
    <w:p>
      <w:pPr>
        <w:pStyle w:val="Heading2"/>
      </w:pPr>
      <w:r>
        <w:t xml:space="preserve">7. Conclusion</w:t>
      </w:r>
    </w:p>
    <w:p>
      <w:pPr>
        <w:pStyle w:val="FirstParagraph"/>
      </w:pPr>
      <w:r>
        <w:t xml:space="preserve">This Experiment Protocol provides a rigorous framework for evaluating modern legal practices in San Francisco. By systematically comparing traditional and technology-enhanced methods, the Lawyer can gain valuable insights into improving service delivery. The findings will contribute to the broader understanding of how legal professionals in the United States can adapt to the demands of a rapidly evolving digital economy while maintaining the integrity of the legal profession.</w:t>
      </w:r>
    </w:p>
    <w:p>
      <w:pPr>
        <w:pStyle w:val="BodyText"/>
      </w:pPr>
      <w:r>
        <w:rPr>
          <w:bCs/>
          <w:b/>
        </w:rPr>
        <w:t xml:space="preserve">Disclaimer:</w:t>
      </w:r>
      <w:r>
        <w:t xml:space="preserve"> </w:t>
      </w:r>
      <w:r>
        <w:t xml:space="preserve">This document is a template for an experiment protocol and does not constitute legal advice. Any Lawyer intending to conduct such an experiment in San Francisco or elsewhere in the United States should consult with legal ethics counsel to ensure full compliance with applicable laws and regulations.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Optimization in San Francisco</dc:title>
  <dc:creator/>
  <dc:language>en</dc:language>
  <cp:keywords/>
  <dcterms:created xsi:type="dcterms:W3CDTF">2026-10-10T03:49:38Z</dcterms:created>
  <dcterms:modified xsi:type="dcterms:W3CDTF">2026-10-10T03:49:38Z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