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Marine</w:t>
      </w:r>
      <w:r>
        <w:t xml:space="preserve"> </w:t>
      </w:r>
      <w:r>
        <w:t xml:space="preserve">Engineer</w:t>
      </w:r>
      <w:r>
        <w:t xml:space="preserve"> </w:t>
      </w:r>
      <w:r>
        <w:t xml:space="preserve">Operational</w:t>
      </w:r>
      <w:r>
        <w:t xml:space="preserve"> </w:t>
      </w:r>
      <w:r>
        <w:t xml:space="preserve">Assessment</w:t>
      </w:r>
    </w:p>
    <w:bookmarkStart w:id="20" w:name="X71875fbec26db44ad37ed6f9a317165337b0d08"/>
    <w:p>
      <w:pPr>
        <w:pStyle w:val="Heading1"/>
      </w:pPr>
      <w:r>
        <w:t xml:space="preserve">Experiment Protocol: Marine Engineer Operational Assessment</w:t>
      </w:r>
    </w:p>
    <w:p>
      <w:pPr>
        <w:pStyle w:val="FirstParagraph"/>
      </w:pPr>
      <w:r>
        <w:rPr>
          <w:bCs/>
          <w:b/>
        </w:rPr>
        <w:t xml:space="preserve">Location:</w:t>
      </w:r>
      <w:r>
        <w:t xml:space="preserve"> </w:t>
      </w:r>
      <w:r>
        <w:t xml:space="preserve">Australia Melbourne, Port of Melbourne Maritime Training Facility</w:t>
      </w:r>
    </w:p>
    <w:p>
      <w:pPr>
        <w:pStyle w:val="BodyText"/>
      </w:pPr>
      <w:r>
        <w:rPr>
          <w:bCs/>
          <w:b/>
        </w:rPr>
        <w:t xml:space="preserve">Document ID:</w:t>
      </w:r>
      <w:r>
        <w:t xml:space="preserve"> </w:t>
      </w:r>
      <w:r>
        <w:t xml:space="preserve">ME-EXP-2023-001</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Experiment Protocol outlines the procedures for assessing the operational competencies of a Marine Engineer in the context of modern maritime operations. The assessment is designed to evaluate technical skills, problem-solving abilities, and adherence to safety standards as required by Australian maritime regulations. The experiment will be conducted at the Port of Melbourne Maritime Training Facility, leveraging its advanced simulation technologies and real-world operational environments.</w:t>
      </w:r>
    </w:p>
    <w:p>
      <w:pPr>
        <w:pStyle w:val="BodyText"/>
      </w:pPr>
      <w:r>
        <w:t xml:space="preserve">The primary objective is to ensure that Marine Engineers operating in Australia Melbourne meet the highest standards of proficiency, particularly in areas such as engine room management, emergency response, and environmental compliance.</w:t>
      </w:r>
    </w:p>
    <w:bookmarkEnd w:id="21"/>
    <w:bookmarkStart w:id="22" w:name="objectives"/>
    <w:p>
      <w:pPr>
        <w:pStyle w:val="Heading2"/>
      </w:pPr>
      <w:r>
        <w:t xml:space="preserve">2. Objectives</w:t>
      </w:r>
    </w:p>
    <w:p>
      <w:pPr>
        <w:numPr>
          <w:ilvl w:val="0"/>
          <w:numId w:val="1001"/>
        </w:numPr>
        <w:pStyle w:val="Compact"/>
      </w:pPr>
      <w:r>
        <w:t xml:space="preserve">To evaluate the technical competence of a Marine Engineer in managing shipboard machinery and systems.</w:t>
      </w:r>
    </w:p>
    <w:p>
      <w:pPr>
        <w:numPr>
          <w:ilvl w:val="0"/>
          <w:numId w:val="1001"/>
        </w:numPr>
        <w:pStyle w:val="Compact"/>
      </w:pPr>
      <w:r>
        <w:t xml:space="preserve">To assess the ability to respond effectively to emergency scenarios, including engine failures and fire outbreaks.</w:t>
      </w:r>
    </w:p>
    <w:p>
      <w:pPr>
        <w:numPr>
          <w:ilvl w:val="0"/>
          <w:numId w:val="1001"/>
        </w:numPr>
        <w:pStyle w:val="Compact"/>
      </w:pPr>
      <w:r>
        <w:t xml:space="preserve">To verify compliance with Australian maritime safety and environmental regulations.</w:t>
      </w:r>
    </w:p>
    <w:p>
      <w:pPr>
        <w:numPr>
          <w:ilvl w:val="0"/>
          <w:numId w:val="1001"/>
        </w:numPr>
        <w:pStyle w:val="Compact"/>
      </w:pPr>
      <w:r>
        <w:t xml:space="preserve">To identify areas for improvement in training and operational procedures.</w:t>
      </w:r>
    </w:p>
    <w:bookmarkEnd w:id="22"/>
    <w:bookmarkStart w:id="23" w:name="scope"/>
    <w:p>
      <w:pPr>
        <w:pStyle w:val="Heading2"/>
      </w:pPr>
      <w:r>
        <w:t xml:space="preserve">3. Scope</w:t>
      </w:r>
    </w:p>
    <w:p>
      <w:pPr>
        <w:pStyle w:val="FirstParagraph"/>
      </w:pPr>
      <w:r>
        <w:t xml:space="preserve">This protocol applies to all Marine Engineers undergoing assessment at the Port of Melbourne Maritime Training Facility. The scope includes:</w:t>
      </w:r>
    </w:p>
    <w:p>
      <w:pPr>
        <w:numPr>
          <w:ilvl w:val="0"/>
          <w:numId w:val="1002"/>
        </w:numPr>
        <w:pStyle w:val="Compact"/>
      </w:pPr>
      <w:r>
        <w:t xml:space="preserve">Simulation-based assessments using state-of-the-art engine room simulators.</w:t>
      </w:r>
    </w:p>
    <w:p>
      <w:pPr>
        <w:numPr>
          <w:ilvl w:val="0"/>
          <w:numId w:val="1002"/>
        </w:numPr>
        <w:pStyle w:val="Compact"/>
      </w:pPr>
      <w:r>
        <w:t xml:space="preserve">Practical evaluations in controlled environments replicating real-world conditions.</w:t>
      </w:r>
    </w:p>
    <w:p>
      <w:pPr>
        <w:numPr>
          <w:ilvl w:val="0"/>
          <w:numId w:val="1002"/>
        </w:numPr>
        <w:pStyle w:val="Compact"/>
      </w:pPr>
      <w:r>
        <w:t xml:space="preserve">Review of theoretical knowledge through written examinations.</w:t>
      </w:r>
    </w:p>
    <w:bookmarkEnd w:id="23"/>
    <w:bookmarkStart w:id="27" w:name="methodology"/>
    <w:p>
      <w:pPr>
        <w:pStyle w:val="Heading2"/>
      </w:pPr>
      <w:r>
        <w:t xml:space="preserve">4. Methodology</w:t>
      </w:r>
    </w:p>
    <w:bookmarkStart w:id="24" w:name="participants"/>
    <w:p>
      <w:pPr>
        <w:pStyle w:val="Heading3"/>
      </w:pPr>
      <w:r>
        <w:t xml:space="preserve">4.1 Participants</w:t>
      </w:r>
    </w:p>
    <w:p>
      <w:pPr>
        <w:pStyle w:val="FirstParagraph"/>
      </w:pPr>
      <w:r>
        <w:t xml:space="preserve">Participants will be Marine Engineers with at least two years of experience in commercial shipping. They must hold valid certifications issued by the Australian Maritime Safety Authority (AMSA).</w:t>
      </w:r>
    </w:p>
    <w:bookmarkEnd w:id="24"/>
    <w:bookmarkStart w:id="25" w:name="equipment-and-materials"/>
    <w:p>
      <w:pPr>
        <w:pStyle w:val="Heading3"/>
      </w:pPr>
      <w:r>
        <w:t xml:space="preserve">4.2 Equipment and Materials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Item</w:t>
            </w:r>
          </w:p>
        </w:tc>
        <w:tc>
          <w:tcPr/>
          <w:p>
            <w:pPr>
              <w:pStyle w:val="Compact"/>
              <w:jc w:val="left"/>
            </w:pPr>
            <w:r>
              <w:t xml:space="preserve">Description</w:t>
            </w:r>
          </w:p>
        </w:tc>
      </w:tr>
      <w:tr>
        <w:tc>
          <w:tcPr/>
          <w:p>
            <w:pPr>
              <w:pStyle w:val="Compact"/>
              <w:jc w:val="left"/>
            </w:pPr>
            <w:r>
              <w:t xml:space="preserve">Engine Room Simulator</w:t>
            </w:r>
          </w:p>
        </w:tc>
        <w:tc>
          <w:tcPr/>
          <w:p>
            <w:pPr>
              <w:pStyle w:val="Compact"/>
              <w:jc w:val="left"/>
            </w:pPr>
            <w:r>
              <w:t xml:space="preserve">Advanced simulation system replicating modern shipboard machinery.</w:t>
            </w:r>
          </w:p>
        </w:tc>
      </w:tr>
      <w:tr>
        <w:tc>
          <w:tcPr/>
          <w:p>
            <w:pPr>
              <w:pStyle w:val="Compact"/>
              <w:jc w:val="left"/>
            </w:pPr>
            <w:r>
              <w:t xml:space="preserve">Emergency Response Kits</w:t>
            </w:r>
          </w:p>
        </w:tc>
        <w:tc>
          <w:tcPr/>
          <w:p>
            <w:pPr>
              <w:pStyle w:val="Compact"/>
              <w:jc w:val="left"/>
            </w:pPr>
            <w:r>
              <w:t xml:space="preserve">Standardized kits for fire suppression and medical emergencies.</w:t>
            </w:r>
          </w:p>
        </w:tc>
      </w:tr>
      <w:tr>
        <w:tc>
          <w:tcPr/>
          <w:p>
            <w:pPr>
              <w:pStyle w:val="Compact"/>
              <w:jc w:val="left"/>
            </w:pPr>
            <w:r>
              <w:t xml:space="preserve">Assessment Forms</w:t>
            </w:r>
          </w:p>
        </w:tc>
        <w:tc>
          <w:tcPr/>
          <w:p>
            <w:pPr>
              <w:pStyle w:val="Compact"/>
              <w:jc w:val="left"/>
            </w:pPr>
            <w:r>
              <w:t xml:space="preserve">Structured forms for evaluating participant performance.</w:t>
            </w:r>
          </w:p>
        </w:tc>
      </w:tr>
    </w:tbl>
    <w:bookmarkEnd w:id="25"/>
    <w:bookmarkStart w:id="26" w:name="procedures"/>
    <w:p>
      <w:pPr>
        <w:pStyle w:val="Heading3"/>
      </w:pPr>
      <w:r>
        <w:t xml:space="preserve">4.3 Procedures</w:t>
      </w:r>
    </w:p>
    <w:p>
      <w:pPr>
        <w:numPr>
          <w:ilvl w:val="0"/>
          <w:numId w:val="1003"/>
        </w:numPr>
        <w:pStyle w:val="Compact"/>
      </w:pPr>
      <w:r>
        <w:rPr>
          <w:bCs/>
          <w:b/>
        </w:rPr>
        <w:t xml:space="preserve">Pre-Assessment Briefing:</w:t>
      </w:r>
      <w:r>
        <w:t xml:space="preserve"> </w:t>
      </w:r>
      <w:r>
        <w:t xml:space="preserve">Participants will receive a detailed briefing on the objectives, procedures, and safety protocols of the experiment.</w:t>
      </w:r>
    </w:p>
    <w:p>
      <w:pPr>
        <w:numPr>
          <w:ilvl w:val="0"/>
          <w:numId w:val="1003"/>
        </w:numPr>
        <w:pStyle w:val="Compact"/>
      </w:pPr>
      <w:r>
        <w:rPr>
          <w:bCs/>
          <w:b/>
        </w:rPr>
        <w:t xml:space="preserve">Simulation Exercises:</w:t>
      </w:r>
      <w:r>
        <w:t xml:space="preserve"> </w:t>
      </w:r>
      <w:r>
        <w:t xml:space="preserve">Participants will engage in a series of simulation exercises designed to test their ability to manage routine operations and respond to emergencies.</w:t>
      </w:r>
    </w:p>
    <w:p>
      <w:pPr>
        <w:numPr>
          <w:ilvl w:val="0"/>
          <w:numId w:val="1003"/>
        </w:numPr>
        <w:pStyle w:val="Compact"/>
      </w:pPr>
      <w:r>
        <w:rPr>
          <w:bCs/>
          <w:b/>
        </w:rPr>
        <w:t xml:space="preserve">Practical Evaluations:</w:t>
      </w:r>
      <w:r>
        <w:t xml:space="preserve"> </w:t>
      </w:r>
      <w:r>
        <w:t xml:space="preserve">Participants will perform hands-on tasks in controlled environments, such as troubleshooting engine faults and conducting maintenance checks.</w:t>
      </w:r>
    </w:p>
    <w:p>
      <w:pPr>
        <w:numPr>
          <w:ilvl w:val="0"/>
          <w:numId w:val="1003"/>
        </w:numPr>
        <w:pStyle w:val="Compact"/>
      </w:pPr>
      <w:r>
        <w:rPr>
          <w:bCs/>
          <w:b/>
        </w:rPr>
        <w:t xml:space="preserve">Written Examination:</w:t>
      </w:r>
      <w:r>
        <w:t xml:space="preserve"> </w:t>
      </w:r>
      <w:r>
        <w:t xml:space="preserve">Participants will complete a written exam covering theoretical knowledge of maritime engineering principles and regulations.</w:t>
      </w:r>
    </w:p>
    <w:bookmarkEnd w:id="26"/>
    <w:bookmarkEnd w:id="27"/>
    <w:bookmarkStart w:id="28" w:name="safety-considerations"/>
    <w:p>
      <w:pPr>
        <w:pStyle w:val="Heading2"/>
      </w:pPr>
      <w:r>
        <w:t xml:space="preserve">5. Safety Considerations</w:t>
      </w:r>
    </w:p>
    <w:p>
      <w:pPr>
        <w:pStyle w:val="FirstParagraph"/>
      </w:pPr>
      <w:r>
        <w:t xml:space="preserve">Safety is paramount throughout the experiment. All participants and staff must adhere to the following guidelines:</w:t>
      </w:r>
    </w:p>
    <w:p>
      <w:pPr>
        <w:numPr>
          <w:ilvl w:val="0"/>
          <w:numId w:val="1004"/>
        </w:numPr>
        <w:pStyle w:val="Compact"/>
      </w:pPr>
      <w:r>
        <w:t xml:space="preserve">Wear appropriate personal protective equipment (PPE) at all times.</w:t>
      </w:r>
    </w:p>
    <w:p>
      <w:pPr>
        <w:numPr>
          <w:ilvl w:val="0"/>
          <w:numId w:val="1004"/>
        </w:numPr>
        <w:pStyle w:val="Compact"/>
      </w:pPr>
      <w:r>
        <w:t xml:space="preserve">Follow all instructions provided by the assessment team.</w:t>
      </w:r>
    </w:p>
    <w:p>
      <w:pPr>
        <w:numPr>
          <w:ilvl w:val="0"/>
          <w:numId w:val="1004"/>
        </w:numPr>
        <w:pStyle w:val="Compact"/>
      </w:pPr>
      <w:r>
        <w:t xml:space="preserve">Report any hazards or incidents immediately.</w:t>
      </w:r>
    </w:p>
    <w:p>
      <w:pPr>
        <w:pStyle w:val="FirstParagraph"/>
      </w:pPr>
      <w:r>
        <w:rPr>
          <w:bCs/>
          <w:b/>
        </w:rPr>
        <w:t xml:space="preserve">Note:</w:t>
      </w:r>
      <w:r>
        <w:t xml:space="preserve"> </w:t>
      </w:r>
      <w:r>
        <w:t xml:space="preserve">In the event of an emergency, participants should follow the evacuation procedures outlined in the facility's safety manual.</w:t>
      </w:r>
    </w:p>
    <w:bookmarkEnd w:id="28"/>
    <w:bookmarkStart w:id="29" w:name="data-collection-and-analysis"/>
    <w:p>
      <w:pPr>
        <w:pStyle w:val="Heading2"/>
      </w:pPr>
      <w:r>
        <w:t xml:space="preserve">6. Data Collection and Analysis</w:t>
      </w:r>
    </w:p>
    <w:p>
      <w:pPr>
        <w:pStyle w:val="FirstParagraph"/>
      </w:pPr>
      <w:r>
        <w:t xml:space="preserve">Data will be collected through observation, assessment forms, and performance metrics from the simulation exercises. The data will be analyzed to determine the overall competence of each participant and to identify trends or areas for improvement in training programs.</w:t>
      </w:r>
    </w:p>
    <w:bookmarkEnd w:id="29"/>
    <w:bookmarkStart w:id="30" w:name="ethical-considerations"/>
    <w:p>
      <w:pPr>
        <w:pStyle w:val="Heading2"/>
      </w:pPr>
      <w:r>
        <w:t xml:space="preserve">7. Ethical Considerations</w:t>
      </w:r>
    </w:p>
    <w:p>
      <w:pPr>
        <w:pStyle w:val="FirstParagraph"/>
      </w:pPr>
      <w:r>
        <w:t xml:space="preserve">This experiment adheres to ethical standards set by the Australian Maritime Safety Authority and relevant professional bodies. Participants will provide informed consent before taking part in the assessment, and their data will be handled confidentially.</w:t>
      </w:r>
    </w:p>
    <w:bookmarkEnd w:id="30"/>
    <w:bookmarkStart w:id="31" w:name="conclusion"/>
    <w:p>
      <w:pPr>
        <w:pStyle w:val="Heading2"/>
      </w:pPr>
      <w:r>
        <w:t xml:space="preserve">8. Conclusion</w:t>
      </w:r>
    </w:p>
    <w:p>
      <w:pPr>
        <w:pStyle w:val="FirstParagraph"/>
      </w:pPr>
      <w:r>
        <w:t xml:space="preserve">This Experiment Protocol provides a comprehensive framework for assessing the competencies of Marine Engineers in Australia Melbourne. By combining simulation-based assessments, practical evaluations, and theoretical examinations, the protocol ensures that participants are thoroughly evaluated against industry standards. The results of this experiment will contribute to enhancing the quality of maritime engineering training and operations in the region.</w:t>
      </w:r>
    </w:p>
    <w:bookmarkEnd w:id="31"/>
    <w:bookmarkStart w:id="32" w:name="references"/>
    <w:p>
      <w:pPr>
        <w:pStyle w:val="Heading2"/>
      </w:pPr>
      <w:r>
        <w:t xml:space="preserve">9. References</w:t>
      </w:r>
    </w:p>
    <w:p>
      <w:pPr>
        <w:numPr>
          <w:ilvl w:val="0"/>
          <w:numId w:val="1005"/>
        </w:numPr>
        <w:pStyle w:val="Compact"/>
      </w:pPr>
      <w:r>
        <w:t xml:space="preserve">Australian Maritime Safety Authority (AMSA) Guidelines.</w:t>
      </w:r>
    </w:p>
    <w:p>
      <w:pPr>
        <w:numPr>
          <w:ilvl w:val="0"/>
          <w:numId w:val="1005"/>
        </w:numPr>
        <w:pStyle w:val="Compact"/>
      </w:pPr>
      <w:r>
        <w:t xml:space="preserve">International Maritime Organization (IMO) Standards.</w:t>
      </w:r>
    </w:p>
    <w:p>
      <w:pPr>
        <w:numPr>
          <w:ilvl w:val="0"/>
          <w:numId w:val="1005"/>
        </w:numPr>
        <w:pStyle w:val="Compact"/>
      </w:pPr>
      <w:r>
        <w:t xml:space="preserve">Port of Melbourne Maritime Training Facility Safety Manual.</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Marine Engineer Operational Assessment</dc:title>
  <dc:creator/>
  <dc:language>en</dc:language>
  <cp:keywords/>
  <dcterms:created xsi:type="dcterms:W3CDTF">2026-10-10T03:32:23Z</dcterms:created>
  <dcterms:modified xsi:type="dcterms:W3CDTF">2026-10-10T03:32:23Z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