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r>
        <w:t xml:space="preserve"> </w:t>
      </w:r>
      <w:r>
        <w:t xml:space="preserve">in</w:t>
      </w:r>
      <w:r>
        <w:t xml:space="preserve"> </w:t>
      </w:r>
      <w:r>
        <w:t xml:space="preserve">Egypt</w:t>
      </w:r>
      <w:r>
        <w:t xml:space="preserve"> </w:t>
      </w:r>
      <w:r>
        <w:t xml:space="preserve">Alexandria</w:t>
      </w:r>
    </w:p>
    <w:bookmarkStart w:id="31" w:name="Xa413d16a757c1fdd84fb6cb776b12d82ed45cf8"/>
    <w:p>
      <w:pPr>
        <w:pStyle w:val="Heading1"/>
      </w:pPr>
      <w:r>
        <w:t xml:space="preserve">Experiment Protocol: Marine Engineer Operational Assessment in Egypt Alexandria</w:t>
      </w:r>
    </w:p>
    <w:p>
      <w:pPr>
        <w:pStyle w:val="FirstParagraph"/>
      </w:pPr>
      <w:r>
        <w:rPr>
          <w:bCs/>
          <w:b/>
        </w:rPr>
        <w:t xml:space="preserve">Protocol ID:</w:t>
      </w:r>
      <w:r>
        <w:t xml:space="preserve"> </w:t>
      </w:r>
      <w:r>
        <w:t xml:space="preserve">ME-ALX-2024-001</w:t>
      </w:r>
    </w:p>
    <w:p>
      <w:pPr>
        <w:pStyle w:val="BodyText"/>
      </w:pPr>
      <w:r>
        <w:rPr>
          <w:bCs/>
          <w:b/>
        </w:rPr>
        <w:t xml:space="preserve">Location:</w:t>
      </w:r>
      <w:r>
        <w:t xml:space="preserve"> </w:t>
      </w:r>
      <w:r>
        <w:t xml:space="preserve">Alexandria Port Authority, Egypt Alexandria</w:t>
      </w:r>
    </w:p>
    <w:p>
      <w:pPr>
        <w:pStyle w:val="BodyText"/>
      </w:pPr>
      <w:r>
        <w:rPr>
          <w:bCs/>
          <w:b/>
        </w:rPr>
        <w:t xml:space="preserve">Subject:</w:t>
      </w:r>
      <w:r>
        <w:t xml:space="preserve"> </w:t>
      </w:r>
      <w:r>
        <w:t xml:space="preserve">Marine Engineer Performance Evaluation</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objective"/>
    <w:p>
      <w:pPr>
        <w:pStyle w:val="Heading2"/>
      </w:pPr>
      <w:r>
        <w:t xml:space="preserve">1. Introduction and Objective</w:t>
      </w:r>
    </w:p>
    <w:p>
      <w:pPr>
        <w:pStyle w:val="FirstParagraph"/>
      </w:pPr>
      <w:r>
        <w:t xml:space="preserve">This Experiment Protocol outlines the procedures for assessing the operational competence of a Marine Engineer within the specific environmental and regulatory context of Egypt Alexandria. The primary objective is to evaluate the engineer's ability to manage marine propulsion systems, auxiliary machinery, and emergency response protocols under conditions typical of the Mediterranean Sea and the Alexandria harbor.</w:t>
      </w:r>
    </w:p>
    <w:p>
      <w:pPr>
        <w:pStyle w:val="BodyText"/>
      </w:pPr>
      <w:r>
        <w:t xml:space="preserve">Given the strategic importance of Egypt Alexandria as a major maritime hub, this protocol ensures that the Marine Engineer adheres to international maritime standards while addressing local challenges such as high salinity, sand ingress, and specific port authority regulations.</w:t>
      </w:r>
    </w:p>
    <w:bookmarkEnd w:id="20"/>
    <w:bookmarkStart w:id="21" w:name="scope-and-applicability"/>
    <w:p>
      <w:pPr>
        <w:pStyle w:val="Heading2"/>
      </w:pPr>
      <w:r>
        <w:t xml:space="preserve">2. Scope and Applicability</w:t>
      </w:r>
    </w:p>
    <w:p>
      <w:pPr>
        <w:pStyle w:val="FirstParagraph"/>
      </w:pPr>
      <w:r>
        <w:t xml:space="preserve">This protocol applies to all Marine Engineers operating vessels within the jurisdiction of Egypt Alexandria. It covers:</w:t>
      </w:r>
    </w:p>
    <w:p>
      <w:pPr>
        <w:numPr>
          <w:ilvl w:val="0"/>
          <w:numId w:val="1001"/>
        </w:numPr>
        <w:pStyle w:val="Compact"/>
      </w:pPr>
      <w:r>
        <w:t xml:space="preserve">Pre-departure inspections of main and auxiliary engines.</w:t>
      </w:r>
    </w:p>
    <w:p>
      <w:pPr>
        <w:numPr>
          <w:ilvl w:val="0"/>
          <w:numId w:val="1001"/>
        </w:numPr>
        <w:pStyle w:val="Compact"/>
      </w:pPr>
      <w:r>
        <w:t xml:space="preserve">Monitoring of fuel consumption and emissions compliance.</w:t>
      </w:r>
    </w:p>
    <w:p>
      <w:pPr>
        <w:numPr>
          <w:ilvl w:val="0"/>
          <w:numId w:val="1001"/>
        </w:numPr>
        <w:pStyle w:val="Compact"/>
      </w:pPr>
      <w:r>
        <w:t xml:space="preserve">Emergency shutdown procedures and fire safety drills.</w:t>
      </w:r>
    </w:p>
    <w:p>
      <w:pPr>
        <w:numPr>
          <w:ilvl w:val="0"/>
          <w:numId w:val="1001"/>
        </w:numPr>
        <w:pStyle w:val="Compact"/>
      </w:pPr>
      <w:r>
        <w:t xml:space="preserve">Adaptation to local weather and sea conditions in the Alexandria region.</w:t>
      </w:r>
    </w:p>
    <w:bookmarkEnd w:id="21"/>
    <w:bookmarkStart w:id="22" w:name="equipment-and-materials"/>
    <w:p>
      <w:pPr>
        <w:pStyle w:val="Heading2"/>
      </w:pPr>
      <w:r>
        <w:t xml:space="preserve">3.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Engine Monitoring System</w:t>
            </w:r>
          </w:p>
        </w:tc>
        <w:tc>
          <w:tcPr/>
          <w:p>
            <w:pPr>
              <w:pStyle w:val="Compact"/>
              <w:jc w:val="left"/>
            </w:pPr>
            <w:r>
              <w:t xml:space="preserve">Real-time data acquisition for temperature, pressure, and RPM</w:t>
            </w:r>
          </w:p>
        </w:tc>
        <w:tc>
          <w:tcPr/>
          <w:p>
            <w:pPr>
              <w:pStyle w:val="Compact"/>
              <w:jc w:val="left"/>
            </w:pPr>
            <w:r>
              <w:t xml:space="preserve">1 Set</w:t>
            </w:r>
          </w:p>
        </w:tc>
      </w:tr>
      <w:tr>
        <w:tc>
          <w:tcPr/>
          <w:p>
            <w:pPr>
              <w:pStyle w:val="Compact"/>
              <w:jc w:val="left"/>
            </w:pPr>
            <w:r>
              <w:t xml:space="preserve">Portable Gas Analyzer</w:t>
            </w:r>
          </w:p>
        </w:tc>
        <w:tc>
          <w:tcPr/>
          <w:p>
            <w:pPr>
              <w:pStyle w:val="Compact"/>
              <w:jc w:val="left"/>
            </w:pPr>
            <w:r>
              <w:t xml:space="preserve">For exhaust gas and enclosed space atmosphere testing</w:t>
            </w:r>
          </w:p>
        </w:tc>
        <w:tc>
          <w:tcPr/>
          <w:p>
            <w:pPr>
              <w:pStyle w:val="Compact"/>
              <w:jc w:val="left"/>
            </w:pPr>
            <w:r>
              <w:t xml:space="preserve">2 Units</w:t>
            </w:r>
          </w:p>
        </w:tc>
      </w:tr>
      <w:tr>
        <w:tc>
          <w:tcPr/>
          <w:p>
            <w:pPr>
              <w:pStyle w:val="Compact"/>
              <w:jc w:val="left"/>
            </w:pPr>
            <w:r>
              <w:t xml:space="preserve">Fire Extinguishers</w:t>
            </w:r>
          </w:p>
        </w:tc>
        <w:tc>
          <w:tcPr/>
          <w:p>
            <w:pPr>
              <w:pStyle w:val="Compact"/>
              <w:jc w:val="left"/>
            </w:pPr>
            <w:r>
              <w:t xml:space="preserve">CO2 and Foam types, certified for marine use</w:t>
            </w:r>
          </w:p>
        </w:tc>
        <w:tc>
          <w:tcPr/>
          <w:p>
            <w:pPr>
              <w:pStyle w:val="Compact"/>
              <w:jc w:val="left"/>
            </w:pPr>
            <w:r>
              <w:t xml:space="preserve">4 Units</w:t>
            </w:r>
          </w:p>
        </w:tc>
      </w:tr>
      <w:tr>
        <w:tc>
          <w:tcPr/>
          <w:p>
            <w:pPr>
              <w:pStyle w:val="Compact"/>
              <w:jc w:val="left"/>
            </w:pPr>
            <w:r>
              <w:t xml:space="preserve">Personal Protective Equipment (PPE)</w:t>
            </w:r>
          </w:p>
        </w:tc>
        <w:tc>
          <w:tcPr/>
          <w:p>
            <w:pPr>
              <w:pStyle w:val="Compact"/>
              <w:jc w:val="left"/>
            </w:pPr>
            <w:r>
              <w:t xml:space="preserve">Hard hats, gloves, safety boots, goggles</w:t>
            </w:r>
          </w:p>
        </w:tc>
        <w:tc>
          <w:tcPr/>
          <w:p>
            <w:pPr>
              <w:pStyle w:val="Compact"/>
              <w:jc w:val="left"/>
            </w:pPr>
            <w:r>
              <w:t xml:space="preserve">As required</w:t>
            </w:r>
          </w:p>
        </w:tc>
      </w:tr>
      <w:tr>
        <w:tc>
          <w:tcPr/>
          <w:p>
            <w:pPr>
              <w:pStyle w:val="Compact"/>
              <w:jc w:val="left"/>
            </w:pPr>
            <w:r>
              <w:t xml:space="preserve">Logbook and Checklists</w:t>
            </w:r>
          </w:p>
        </w:tc>
        <w:tc>
          <w:tcPr/>
          <w:p>
            <w:pPr>
              <w:pStyle w:val="Compact"/>
              <w:jc w:val="left"/>
            </w:pPr>
            <w:r>
              <w:t xml:space="preserve">Standardized forms for recording observations</w:t>
            </w:r>
          </w:p>
        </w:tc>
        <w:tc>
          <w:tcPr/>
          <w:p>
            <w:pPr>
              <w:pStyle w:val="Compact"/>
              <w:jc w:val="left"/>
            </w:pPr>
            <w:r>
              <w:t xml:space="preserve">1 Set</w:t>
            </w:r>
          </w:p>
        </w:tc>
      </w:tr>
    </w:tbl>
    <w:bookmarkEnd w:id="22"/>
    <w:bookmarkStart w:id="26" w:name="methodology"/>
    <w:p>
      <w:pPr>
        <w:pStyle w:val="Heading2"/>
      </w:pPr>
      <w:r>
        <w:t xml:space="preserve">4. Methodology</w:t>
      </w:r>
    </w:p>
    <w:bookmarkStart w:id="23" w:name="pre-experiment-preparation"/>
    <w:p>
      <w:pPr>
        <w:pStyle w:val="Heading3"/>
      </w:pPr>
      <w:r>
        <w:t xml:space="preserve">4.1 Pre-Experiment Preparation</w:t>
      </w:r>
    </w:p>
    <w:p>
      <w:pPr>
        <w:pStyle w:val="FirstParagraph"/>
      </w:pPr>
      <w:r>
        <w:t xml:space="preserve">The Marine Engineer must conduct a thorough inspection of all machinery spaces prior to the experiment. This includes verifying the integrity of fuel lines, lubrication systems, and cooling water circuits. Special attention should be given to filters and intakes due to the sandy conditions prevalent in Egypt Alexandria.</w:t>
      </w:r>
    </w:p>
    <w:bookmarkEnd w:id="23"/>
    <w:bookmarkStart w:id="24" w:name="operational-testing"/>
    <w:p>
      <w:pPr>
        <w:pStyle w:val="Heading3"/>
      </w:pPr>
      <w:r>
        <w:t xml:space="preserve">4.2 Operational Testing</w:t>
      </w:r>
    </w:p>
    <w:p>
      <w:pPr>
        <w:pStyle w:val="FirstParagraph"/>
      </w:pPr>
      <w:r>
        <w:t xml:space="preserve">The experiment involves a series of controlled operations:</w:t>
      </w:r>
    </w:p>
    <w:p>
      <w:pPr>
        <w:numPr>
          <w:ilvl w:val="0"/>
          <w:numId w:val="1002"/>
        </w:numPr>
        <w:pStyle w:val="Compact"/>
      </w:pPr>
      <w:r>
        <w:rPr>
          <w:bCs/>
          <w:b/>
        </w:rPr>
        <w:t xml:space="preserve">Engine Start-Up:</w:t>
      </w:r>
      <w:r>
        <w:t xml:space="preserve"> </w:t>
      </w:r>
      <w:r>
        <w:t xml:space="preserve">The Marine Engineer will initiate the main engine following standard procedures, monitoring for abnormal vibrations or noises.</w:t>
      </w:r>
    </w:p>
    <w:p>
      <w:pPr>
        <w:numPr>
          <w:ilvl w:val="0"/>
          <w:numId w:val="1002"/>
        </w:numPr>
        <w:pStyle w:val="Compact"/>
      </w:pPr>
      <w:r>
        <w:rPr>
          <w:bCs/>
          <w:b/>
        </w:rPr>
        <w:t xml:space="preserve">Load Testing:</w:t>
      </w:r>
      <w:r>
        <w:t xml:space="preserve"> </w:t>
      </w:r>
      <w:r>
        <w:t xml:space="preserve">Gradual increase in engine load to simulate typical cargo operations in Alexandria Port. Parameters such as exhaust temperature and fuel pressure will be recorded.</w:t>
      </w:r>
    </w:p>
    <w:p>
      <w:pPr>
        <w:numPr>
          <w:ilvl w:val="0"/>
          <w:numId w:val="1002"/>
        </w:numPr>
        <w:pStyle w:val="Compact"/>
      </w:pPr>
      <w:r>
        <w:rPr>
          <w:bCs/>
          <w:b/>
        </w:rPr>
        <w:t xml:space="preserve">Auxiliary Systems Check:</w:t>
      </w:r>
      <w:r>
        <w:t xml:space="preserve"> </w:t>
      </w:r>
      <w:r>
        <w:t xml:space="preserve">Verification of generators, pumps, and air compressors to ensure redundancy and reliability.</w:t>
      </w:r>
    </w:p>
    <w:bookmarkEnd w:id="24"/>
    <w:bookmarkStart w:id="25" w:name="emergency-simulation"/>
    <w:p>
      <w:pPr>
        <w:pStyle w:val="Heading3"/>
      </w:pPr>
      <w:r>
        <w:t xml:space="preserve">4.3 Emergency Simulation</w:t>
      </w:r>
    </w:p>
    <w:p>
      <w:pPr>
        <w:pStyle w:val="FirstParagraph"/>
      </w:pPr>
      <w:r>
        <w:t xml:space="preserve">A simulated emergency scenario will be executed, such as a main engine failure or fire in the engine room. The Marine Engineer's response time, decision-making, and adherence to safety protocols will be evaluated.</w:t>
      </w:r>
    </w:p>
    <w:bookmarkEnd w:id="25"/>
    <w:bookmarkEnd w:id="26"/>
    <w:bookmarkStart w:id="27" w:name="data-collection-and-analysis"/>
    <w:p>
      <w:pPr>
        <w:pStyle w:val="Heading2"/>
      </w:pPr>
      <w:r>
        <w:t xml:space="preserve">5. Data Collection and Analysis</w:t>
      </w:r>
    </w:p>
    <w:p>
      <w:pPr>
        <w:pStyle w:val="FirstParagraph"/>
      </w:pPr>
      <w:r>
        <w:t xml:space="preserve">All data will be collected using the engine monitoring system and manual logs. Key performance indicators (KPIs) include:</w:t>
      </w:r>
    </w:p>
    <w:p>
      <w:pPr>
        <w:numPr>
          <w:ilvl w:val="0"/>
          <w:numId w:val="1003"/>
        </w:numPr>
        <w:pStyle w:val="Compact"/>
      </w:pPr>
      <w:r>
        <w:t xml:space="preserve">Engine efficiency and fuel consumption rates.</w:t>
      </w:r>
    </w:p>
    <w:p>
      <w:pPr>
        <w:numPr>
          <w:ilvl w:val="0"/>
          <w:numId w:val="1003"/>
        </w:numPr>
        <w:pStyle w:val="Compact"/>
      </w:pPr>
      <w:r>
        <w:t xml:space="preserve">Emission levels compared to IMO standards.</w:t>
      </w:r>
    </w:p>
    <w:p>
      <w:pPr>
        <w:numPr>
          <w:ilvl w:val="0"/>
          <w:numId w:val="1003"/>
        </w:numPr>
        <w:pStyle w:val="Compact"/>
      </w:pPr>
      <w:r>
        <w:t xml:space="preserve">Response time during emergency simulations.</w:t>
      </w:r>
    </w:p>
    <w:p>
      <w:pPr>
        <w:numPr>
          <w:ilvl w:val="0"/>
          <w:numId w:val="1003"/>
        </w:numPr>
        <w:pStyle w:val="Compact"/>
      </w:pPr>
      <w:r>
        <w:t xml:space="preserve">Compliance with local regulations in Egypt Alexandria.</w:t>
      </w:r>
    </w:p>
    <w:p>
      <w:pPr>
        <w:pStyle w:val="FirstParagraph"/>
      </w:pPr>
      <w:r>
        <w:t xml:space="preserve">Data will be analyzed to identify areas of improvement and ensure that the Marine Engineer meets the required competency standards.</w:t>
      </w:r>
    </w:p>
    <w:bookmarkEnd w:id="27"/>
    <w:bookmarkStart w:id="28" w:name="safety-considerations"/>
    <w:p>
      <w:pPr>
        <w:pStyle w:val="Heading2"/>
      </w:pPr>
      <w:r>
        <w:t xml:space="preserve">6. Safety Considerations</w:t>
      </w:r>
    </w:p>
    <w:p>
      <w:pPr>
        <w:pStyle w:val="FirstParagraph"/>
      </w:pPr>
      <w:r>
        <w:t xml:space="preserve">Safety is paramount during this experiment. The Marine Engineer must:</w:t>
      </w:r>
    </w:p>
    <w:p>
      <w:pPr>
        <w:numPr>
          <w:ilvl w:val="0"/>
          <w:numId w:val="1004"/>
        </w:numPr>
        <w:pStyle w:val="Compact"/>
      </w:pPr>
      <w:r>
        <w:t xml:space="preserve">Wear appropriate PPE at all times.</w:t>
      </w:r>
    </w:p>
    <w:p>
      <w:pPr>
        <w:numPr>
          <w:ilvl w:val="0"/>
          <w:numId w:val="1004"/>
        </w:numPr>
        <w:pStyle w:val="Compact"/>
      </w:pPr>
      <w:r>
        <w:t xml:space="preserve">Ensure that all safety systems are functional before starting the experiment.</w:t>
      </w:r>
    </w:p>
    <w:p>
      <w:pPr>
        <w:numPr>
          <w:ilvl w:val="0"/>
          <w:numId w:val="1004"/>
        </w:numPr>
        <w:pStyle w:val="Compact"/>
      </w:pPr>
      <w:r>
        <w:t xml:space="preserve">Follow established emergency procedures in case of an actual incident.</w:t>
      </w:r>
    </w:p>
    <w:p>
      <w:pPr>
        <w:numPr>
          <w:ilvl w:val="0"/>
          <w:numId w:val="1004"/>
        </w:numPr>
        <w:pStyle w:val="Compact"/>
      </w:pPr>
      <w:r>
        <w:t xml:space="preserve">Be aware of the specific hazards associated with operating in Egypt Alexandria, such as high humidity and potential for sandstorms.</w:t>
      </w:r>
    </w:p>
    <w:bookmarkEnd w:id="28"/>
    <w:bookmarkStart w:id="29" w:name="conclusion"/>
    <w:p>
      <w:pPr>
        <w:pStyle w:val="Heading2"/>
      </w:pPr>
      <w:r>
        <w:t xml:space="preserve">7. Conclusion</w:t>
      </w:r>
    </w:p>
    <w:p>
      <w:pPr>
        <w:pStyle w:val="FirstParagraph"/>
      </w:pPr>
      <w:r>
        <w:t xml:space="preserve">This Experiment Protocol provides a structured approach to evaluating the skills and knowledge of a Marine Engineer in the context of Egypt Alexandria. By adhering to this protocol, we ensure that marine operations are conducted safely, efficiently, and in compliance with both international and local standards.</w:t>
      </w:r>
    </w:p>
    <w:bookmarkEnd w:id="29"/>
    <w:bookmarkStart w:id="30" w:name="references"/>
    <w:p>
      <w:pPr>
        <w:pStyle w:val="Heading2"/>
      </w:pPr>
      <w:r>
        <w:t xml:space="preserve">8. References</w:t>
      </w:r>
    </w:p>
    <w:p>
      <w:pPr>
        <w:numPr>
          <w:ilvl w:val="0"/>
          <w:numId w:val="1005"/>
        </w:numPr>
        <w:pStyle w:val="Compact"/>
      </w:pPr>
      <w:r>
        <w:t xml:space="preserve">International Maritime Organization (IMO) Guidelines</w:t>
      </w:r>
    </w:p>
    <w:p>
      <w:pPr>
        <w:numPr>
          <w:ilvl w:val="0"/>
          <w:numId w:val="1005"/>
        </w:numPr>
        <w:pStyle w:val="Compact"/>
      </w:pPr>
      <w:r>
        <w:t xml:space="preserve">Egyptian Maritime Law and Regulations</w:t>
      </w:r>
    </w:p>
    <w:p>
      <w:pPr>
        <w:numPr>
          <w:ilvl w:val="0"/>
          <w:numId w:val="1005"/>
        </w:numPr>
        <w:pStyle w:val="Compact"/>
      </w:pPr>
      <w:r>
        <w:t xml:space="preserve">Alexandria Port Authority Operational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 in Egypt Alexandria</dc:title>
  <dc:creator/>
  <dc:language>en</dc:language>
  <cp:keywords/>
  <dcterms:created xsi:type="dcterms:W3CDTF">2026-10-10T03:37:44Z</dcterms:created>
  <dcterms:modified xsi:type="dcterms:W3CDTF">2026-10-10T03:37:44Z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