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rPr>
          <w:bCs/>
          <w:b/>
        </w:rPr>
        <w:t xml:space="preserve">Document Title:</w:t>
      </w:r>
      <w:r>
        <w:t xml:space="preserve"> </w:t>
      </w:r>
      <w:r>
        <w:t xml:space="preserve">Experiment Protocol for Marine Engineer Competency Assessment</w:t>
      </w:r>
    </w:p>
    <w:p>
      <w:pPr>
        <w:pStyle w:val="BodyText"/>
      </w:pPr>
      <w:r>
        <w:rPr>
          <w:bCs/>
          <w:b/>
        </w:rPr>
        <w:t xml:space="preserve">Location:</w:t>
      </w:r>
      <w:r>
        <w:t xml:space="preserve"> </w:t>
      </w:r>
      <w:r>
        <w:t xml:space="preserve">India New Delhi (Central Maritime Training Institute)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3" w:name="X16f739f3f27a8c7e9e3ae0f12d59685a3d458f4"/>
    <w:p>
      <w:pPr>
        <w:pStyle w:val="Heading1"/>
      </w:pPr>
      <w:r>
        <w:t xml:space="preserve">Experiment Protocol: Marine Engineer Simulation and Assessment</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technical competencies of a Marine Engineer candidate within the context of India New Delhi's maritime training standards. The primary objective is to simulate real-world engineering challenges that a Marine Engineer might encounter while operating vessels in Indian waters and international shipping lanes. This protocol ensures that candidates demonstrate proficiency in engine management, safety protocols, and emergency response procedures, aligning with the regulations set by the Directorate General of Shipping, India.</w:t>
      </w:r>
    </w:p>
    <w:bookmarkEnd w:id="20"/>
    <w:bookmarkStart w:id="21" w:name="scope-and-applicability"/>
    <w:p>
      <w:pPr>
        <w:pStyle w:val="Heading2"/>
      </w:pPr>
      <w:r>
        <w:t xml:space="preserve">2. Scope and Applicability</w:t>
      </w:r>
    </w:p>
    <w:p>
      <w:pPr>
        <w:pStyle w:val="FirstParagraph"/>
      </w:pPr>
      <w:r>
        <w:t xml:space="preserve">This protocol applies to all Marine Engineer candidates undergoing assessment at the designated training facility in India New Delhi. It covers both theoretical knowledge and practical skills required for the role. The experiment is designed to test the candidate's ability to handle complex engineering tasks under controlled conditions, ensuring they meet the high standards expected in the maritime industry.</w:t>
      </w:r>
    </w:p>
    <w:bookmarkEnd w:id="21"/>
    <w:bookmarkStart w:id="22" w:name="equipment-and-materials"/>
    <w:p>
      <w:pPr>
        <w:pStyle w:val="Heading2"/>
      </w:pPr>
      <w:r>
        <w:t xml:space="preserve">3. Equipment and Materials</w:t>
      </w:r>
    </w:p>
    <w:p>
      <w:pPr>
        <w:pStyle w:val="FirstParagraph"/>
      </w:pPr>
      <w:r>
        <w:t xml:space="preserve">The following equipment and materials are required for the experiment:</w:t>
      </w:r>
    </w:p>
    <w:p>
      <w:pPr>
        <w:numPr>
          <w:ilvl w:val="0"/>
          <w:numId w:val="1001"/>
        </w:numPr>
        <w:pStyle w:val="Compact"/>
      </w:pPr>
      <w:r>
        <w:t xml:space="preserve">Marine Engine Simulator (Diesel and Gas Turbine models)</w:t>
      </w:r>
    </w:p>
    <w:p>
      <w:pPr>
        <w:numPr>
          <w:ilvl w:val="0"/>
          <w:numId w:val="1001"/>
        </w:numPr>
        <w:pStyle w:val="Compact"/>
      </w:pPr>
      <w:r>
        <w:t xml:space="preserve">Control Room Interface with Real-Time Monitoring Systems</w:t>
      </w:r>
    </w:p>
    <w:p>
      <w:pPr>
        <w:numPr>
          <w:ilvl w:val="0"/>
          <w:numId w:val="1001"/>
        </w:numPr>
        <w:pStyle w:val="Compact"/>
      </w:pPr>
      <w:r>
        <w:t xml:space="preserve">Safety Gear (PPE, Fire Extinguishers, Emergency Alarms)</w:t>
      </w:r>
    </w:p>
    <w:p>
      <w:pPr>
        <w:numPr>
          <w:ilvl w:val="0"/>
          <w:numId w:val="1001"/>
        </w:numPr>
        <w:pStyle w:val="Compact"/>
      </w:pPr>
      <w:r>
        <w:t xml:space="preserve">Technical Manuals and Schematics for Marine Engines</w:t>
      </w:r>
    </w:p>
    <w:p>
      <w:pPr>
        <w:numPr>
          <w:ilvl w:val="0"/>
          <w:numId w:val="1001"/>
        </w:numPr>
        <w:pStyle w:val="Compact"/>
      </w:pPr>
      <w:r>
        <w:t xml:space="preserve">Communication Devices (Radios, Intercoms)</w:t>
      </w:r>
    </w:p>
    <w:p>
      <w:pPr>
        <w:numPr>
          <w:ilvl w:val="0"/>
          <w:numId w:val="1001"/>
        </w:numPr>
        <w:pStyle w:val="Compact"/>
      </w:pPr>
      <w:r>
        <w:t xml:space="preserve">Emergency Response Kits</w:t>
      </w:r>
    </w:p>
    <w:bookmarkEnd w:id="22"/>
    <w:bookmarkStart w:id="28" w:name="procedure"/>
    <w:p>
      <w:pPr>
        <w:pStyle w:val="Heading2"/>
      </w:pPr>
      <w:r>
        <w:t xml:space="preserve">4. Procedure</w:t>
      </w:r>
    </w:p>
    <w:bookmarkStart w:id="23" w:name="pre-experiment-preparation"/>
    <w:p>
      <w:pPr>
        <w:pStyle w:val="Heading3"/>
      </w:pPr>
      <w:r>
        <w:t xml:space="preserve">4.1 Pre-Experiment Preparation</w:t>
      </w:r>
    </w:p>
    <w:p>
      <w:pPr>
        <w:pStyle w:val="FirstParagraph"/>
      </w:pPr>
      <w:r>
        <w:t xml:space="preserve">Before commencing the experiment, the following steps must be completed:</w:t>
      </w:r>
    </w:p>
    <w:p>
      <w:pPr>
        <w:numPr>
          <w:ilvl w:val="0"/>
          <w:numId w:val="1002"/>
        </w:numPr>
        <w:pStyle w:val="Compact"/>
      </w:pPr>
      <w:r>
        <w:t xml:space="preserve">Ensure all equipment is calibrated and functioning correctly.</w:t>
      </w:r>
    </w:p>
    <w:p>
      <w:pPr>
        <w:numPr>
          <w:ilvl w:val="0"/>
          <w:numId w:val="1002"/>
        </w:numPr>
        <w:pStyle w:val="Compact"/>
      </w:pPr>
      <w:r>
        <w:t xml:space="preserve">Brief the Marine Engineer candidate on the objectives and safety protocols.</w:t>
      </w:r>
    </w:p>
    <w:p>
      <w:pPr>
        <w:numPr>
          <w:ilvl w:val="0"/>
          <w:numId w:val="1002"/>
        </w:numPr>
        <w:pStyle w:val="Compact"/>
      </w:pPr>
      <w:r>
        <w:t xml:space="preserve">Verify that the candidate has access to all necessary technical manuals and schematics.</w:t>
      </w:r>
    </w:p>
    <w:p>
      <w:pPr>
        <w:numPr>
          <w:ilvl w:val="0"/>
          <w:numId w:val="1002"/>
        </w:numPr>
        <w:pStyle w:val="Compact"/>
      </w:pPr>
      <w:r>
        <w:t xml:space="preserve">Conduct a safety check of the simulation environment.</w:t>
      </w:r>
    </w:p>
    <w:bookmarkEnd w:id="23"/>
    <w:bookmarkStart w:id="27" w:name="experiment-execution"/>
    <w:p>
      <w:pPr>
        <w:pStyle w:val="Heading3"/>
      </w:pPr>
      <w:r>
        <w:t xml:space="preserve">4.2 Experiment Execution</w:t>
      </w:r>
    </w:p>
    <w:p>
      <w:pPr>
        <w:pStyle w:val="FirstParagraph"/>
      </w:pPr>
      <w:r>
        <w:t xml:space="preserve">The experiment consists of three main phases:</w:t>
      </w:r>
    </w:p>
    <w:bookmarkStart w:id="24" w:name="phase-1-engine-start-up-and-operation"/>
    <w:p>
      <w:pPr>
        <w:pStyle w:val="Heading4"/>
      </w:pPr>
      <w:r>
        <w:t xml:space="preserve">Phase 1: Engine Start-Up and Operation</w:t>
      </w:r>
    </w:p>
    <w:p>
      <w:pPr>
        <w:pStyle w:val="FirstParagraph"/>
      </w:pPr>
      <w:r>
        <w:t xml:space="preserve">The candidate will be required to start up a simulated marine diesel engine and bring it to operational status. This includes:</w:t>
      </w:r>
    </w:p>
    <w:p>
      <w:pPr>
        <w:numPr>
          <w:ilvl w:val="0"/>
          <w:numId w:val="1003"/>
        </w:numPr>
        <w:pStyle w:val="Compact"/>
      </w:pPr>
      <w:r>
        <w:t xml:space="preserve">Performing pre-start checks (oil levels, coolant, fuel supply).</w:t>
      </w:r>
    </w:p>
    <w:p>
      <w:pPr>
        <w:numPr>
          <w:ilvl w:val="0"/>
          <w:numId w:val="1003"/>
        </w:numPr>
        <w:pStyle w:val="Compact"/>
      </w:pPr>
      <w:r>
        <w:t xml:space="preserve">Initiating the start-up sequence according to standard operating procedures.</w:t>
      </w:r>
    </w:p>
    <w:p>
      <w:pPr>
        <w:numPr>
          <w:ilvl w:val="0"/>
          <w:numId w:val="1003"/>
        </w:numPr>
        <w:pStyle w:val="Compact"/>
      </w:pPr>
      <w:r>
        <w:t xml:space="preserve">Monitoring engine parameters (temperature, pressure, RPM) during operation.</w:t>
      </w:r>
    </w:p>
    <w:bookmarkEnd w:id="24"/>
    <w:bookmarkStart w:id="25" w:name="X065a697adca27e8c74eafa375618740727b9234"/>
    <w:p>
      <w:pPr>
        <w:pStyle w:val="Heading4"/>
      </w:pPr>
      <w:r>
        <w:t xml:space="preserve">Phase 2: Fault Diagnosis and Troubleshooting</w:t>
      </w:r>
    </w:p>
    <w:p>
      <w:pPr>
        <w:pStyle w:val="FirstParagraph"/>
      </w:pPr>
      <w:r>
        <w:t xml:space="preserve">A simulated fault will be introduced into the engine system. The candidate must:</w:t>
      </w:r>
    </w:p>
    <w:p>
      <w:pPr>
        <w:numPr>
          <w:ilvl w:val="0"/>
          <w:numId w:val="1004"/>
        </w:numPr>
        <w:pStyle w:val="Compact"/>
      </w:pPr>
      <w:r>
        <w:t xml:space="preserve">Identify the fault using diagnostic tools and monitoring systems.</w:t>
      </w:r>
    </w:p>
    <w:p>
      <w:pPr>
        <w:numPr>
          <w:ilvl w:val="0"/>
          <w:numId w:val="1004"/>
        </w:numPr>
        <w:pStyle w:val="Compact"/>
      </w:pPr>
      <w:r>
        <w:t xml:space="preserve">Analyze the root cause of the issue.</w:t>
      </w:r>
    </w:p>
    <w:p>
      <w:pPr>
        <w:numPr>
          <w:ilvl w:val="0"/>
          <w:numId w:val="1004"/>
        </w:numPr>
        <w:pStyle w:val="Compact"/>
      </w:pPr>
      <w:r>
        <w:t xml:space="preserve">Implement corrective actions to resolve the fault.</w:t>
      </w:r>
    </w:p>
    <w:bookmarkEnd w:id="25"/>
    <w:bookmarkStart w:id="26" w:name="phase-3-emergency-response"/>
    <w:p>
      <w:pPr>
        <w:pStyle w:val="Heading4"/>
      </w:pPr>
      <w:r>
        <w:t xml:space="preserve">Phase 3: Emergency Response</w:t>
      </w:r>
    </w:p>
    <w:p>
      <w:pPr>
        <w:pStyle w:val="FirstParagraph"/>
      </w:pPr>
      <w:r>
        <w:t xml:space="preserve">An emergency scenario (e.g., engine room fire or loss of power) will be simulated. The candidate must:</w:t>
      </w:r>
    </w:p>
    <w:p>
      <w:pPr>
        <w:numPr>
          <w:ilvl w:val="0"/>
          <w:numId w:val="1005"/>
        </w:numPr>
        <w:pStyle w:val="Compact"/>
      </w:pPr>
      <w:r>
        <w:t xml:space="preserve">Activate emergency alarms and notify relevant personnel.</w:t>
      </w:r>
    </w:p>
    <w:p>
      <w:pPr>
        <w:numPr>
          <w:ilvl w:val="0"/>
          <w:numId w:val="1005"/>
        </w:numPr>
        <w:pStyle w:val="Compact"/>
      </w:pPr>
      <w:r>
        <w:t xml:space="preserve">Execute emergency shutdown procedures if necessary.</w:t>
      </w:r>
    </w:p>
    <w:p>
      <w:pPr>
        <w:numPr>
          <w:ilvl w:val="0"/>
          <w:numId w:val="1005"/>
        </w:numPr>
        <w:pStyle w:val="Compact"/>
      </w:pPr>
      <w:r>
        <w:t xml:space="preserve">Utilize fire-fighting equipment and follow safety protocols.</w:t>
      </w:r>
    </w:p>
    <w:bookmarkEnd w:id="26"/>
    <w:bookmarkEnd w:id="27"/>
    <w:bookmarkEnd w:id="28"/>
    <w:bookmarkStart w:id="29" w:name="data-collection-and-analysis"/>
    <w:p>
      <w:pPr>
        <w:pStyle w:val="Heading2"/>
      </w:pPr>
      <w:r>
        <w:t xml:space="preserve">5. Data Collection and Analysis</w:t>
      </w:r>
    </w:p>
    <w:p>
      <w:pPr>
        <w:pStyle w:val="FirstParagraph"/>
      </w:pPr>
      <w:r>
        <w:t xml:space="preserve">Throughout the experiment, data will be collected on the candidate's performance, including:</w:t>
      </w:r>
    </w:p>
    <w:p>
      <w:pPr>
        <w:numPr>
          <w:ilvl w:val="0"/>
          <w:numId w:val="1006"/>
        </w:numPr>
        <w:pStyle w:val="Compact"/>
      </w:pPr>
      <w:r>
        <w:t xml:space="preserve">Time taken to complete each phase.</w:t>
      </w:r>
    </w:p>
    <w:p>
      <w:pPr>
        <w:numPr>
          <w:ilvl w:val="0"/>
          <w:numId w:val="1006"/>
        </w:numPr>
        <w:pStyle w:val="Compact"/>
      </w:pPr>
      <w:r>
        <w:t xml:space="preserve">Accuracy of fault diagnosis and troubleshooting.</w:t>
      </w:r>
    </w:p>
    <w:p>
      <w:pPr>
        <w:numPr>
          <w:ilvl w:val="0"/>
          <w:numId w:val="1006"/>
        </w:numPr>
        <w:pStyle w:val="Compact"/>
      </w:pPr>
      <w:r>
        <w:t xml:space="preserve">Adherence to safety protocols and emergency procedures.</w:t>
      </w:r>
    </w:p>
    <w:p>
      <w:pPr>
        <w:numPr>
          <w:ilvl w:val="0"/>
          <w:numId w:val="1006"/>
        </w:numPr>
        <w:pStyle w:val="Compact"/>
      </w:pPr>
      <w:r>
        <w:t xml:space="preserve">Quality of decision-making under pressure.</w:t>
      </w:r>
    </w:p>
    <w:p>
      <w:pPr>
        <w:pStyle w:val="FirstParagraph"/>
      </w:pPr>
      <w:r>
        <w:t xml:space="preserve">This data will be analyzed to assess the candidate's overall competency as a Marine Engineer.</w:t>
      </w:r>
    </w:p>
    <w:bookmarkEnd w:id="29"/>
    <w:bookmarkStart w:id="30" w:name="safety-considerations"/>
    <w:p>
      <w:pPr>
        <w:pStyle w:val="Heading2"/>
      </w:pPr>
      <w:r>
        <w:t xml:space="preserve">6. Safety Considerations</w:t>
      </w:r>
    </w:p>
    <w:p>
      <w:pPr>
        <w:pStyle w:val="FirstParagraph"/>
      </w:pPr>
      <w:r>
        <w:rPr>
          <w:bCs/>
          <w:b/>
        </w:rPr>
        <w:t xml:space="preserve">Warning:</w:t>
      </w:r>
      <w:r>
        <w:t xml:space="preserve"> </w:t>
      </w:r>
      <w:r>
        <w:t xml:space="preserve">All candidates must wear appropriate personal protective equipment (PPE) during the experiment. Failure to comply with safety protocols may result in immediate termination of the assessment.</w:t>
      </w:r>
    </w:p>
    <w:p>
      <w:pPr>
        <w:pStyle w:val="BodyText"/>
      </w:pPr>
      <w:r>
        <w:t xml:space="preserve">Additional safety measures include:</w:t>
      </w:r>
    </w:p>
    <w:p>
      <w:pPr>
        <w:numPr>
          <w:ilvl w:val="0"/>
          <w:numId w:val="1007"/>
        </w:numPr>
        <w:pStyle w:val="Compact"/>
      </w:pPr>
      <w:r>
        <w:t xml:space="preserve">Regular safety briefings before each phase of the experiment.</w:t>
      </w:r>
    </w:p>
    <w:p>
      <w:pPr>
        <w:numPr>
          <w:ilvl w:val="0"/>
          <w:numId w:val="1007"/>
        </w:numPr>
        <w:pStyle w:val="Compact"/>
      </w:pPr>
      <w:r>
        <w:t xml:space="preserve">Availability of first aid kits and emergency medical personnel.</w:t>
      </w:r>
    </w:p>
    <w:p>
      <w:pPr>
        <w:numPr>
          <w:ilvl w:val="0"/>
          <w:numId w:val="1007"/>
        </w:numPr>
        <w:pStyle w:val="Compact"/>
      </w:pPr>
      <w:r>
        <w:t xml:space="preserve">Clear evacuation routes and emergency exits.</w:t>
      </w:r>
    </w:p>
    <w:bookmarkEnd w:id="30"/>
    <w:bookmarkStart w:id="31" w:name="conclusion-and-reporting"/>
    <w:p>
      <w:pPr>
        <w:pStyle w:val="Heading2"/>
      </w:pPr>
      <w:r>
        <w:t xml:space="preserve">7. Conclusion and Reporting</w:t>
      </w:r>
    </w:p>
    <w:p>
      <w:pPr>
        <w:pStyle w:val="FirstParagraph"/>
      </w:pPr>
      <w:r>
        <w:t xml:space="preserve">Upon completion of the experiment, a detailed report will be generated, summarizing the candidate's performance. This report will include:</w:t>
      </w:r>
    </w:p>
    <w:p>
      <w:pPr>
        <w:numPr>
          <w:ilvl w:val="0"/>
          <w:numId w:val="1008"/>
        </w:numPr>
        <w:pStyle w:val="Compact"/>
      </w:pPr>
      <w:r>
        <w:t xml:space="preserve">A breakdown of scores for each phase of the experiment.</w:t>
      </w:r>
    </w:p>
    <w:p>
      <w:pPr>
        <w:numPr>
          <w:ilvl w:val="0"/>
          <w:numId w:val="1008"/>
        </w:numPr>
        <w:pStyle w:val="Compact"/>
      </w:pPr>
      <w:r>
        <w:t xml:space="preserve">Specific areas of strength and improvement.</w:t>
      </w:r>
    </w:p>
    <w:p>
      <w:pPr>
        <w:numPr>
          <w:ilvl w:val="0"/>
          <w:numId w:val="1008"/>
        </w:numPr>
        <w:pStyle w:val="Compact"/>
      </w:pPr>
      <w:r>
        <w:t xml:space="preserve">Recommendations for further training or certification.</w:t>
      </w:r>
    </w:p>
    <w:p>
      <w:pPr>
        <w:pStyle w:val="FirstParagraph"/>
      </w:pPr>
      <w:r>
        <w:t xml:space="preserve">The report will be submitted to the relevant authorities in India New Delhi for final evaluation and certification.</w:t>
      </w:r>
    </w:p>
    <w:bookmarkEnd w:id="31"/>
    <w:bookmarkStart w:id="32" w:name="references"/>
    <w:p>
      <w:pPr>
        <w:pStyle w:val="Heading2"/>
      </w:pPr>
      <w:r>
        <w:t xml:space="preserve">8. References</w:t>
      </w:r>
    </w:p>
    <w:p>
      <w:pPr>
        <w:pStyle w:val="FirstParagraph"/>
      </w:pPr>
      <w:r>
        <w:t xml:space="preserve">This Experiment Protocol is based on the following standards and guidelines:</w:t>
      </w:r>
    </w:p>
    <w:p>
      <w:pPr>
        <w:numPr>
          <w:ilvl w:val="0"/>
          <w:numId w:val="1009"/>
        </w:numPr>
        <w:pStyle w:val="Compact"/>
      </w:pPr>
      <w:r>
        <w:t xml:space="preserve">Directorate General of Shipping, India - Marine Engineering Competency Standards</w:t>
      </w:r>
    </w:p>
    <w:p>
      <w:pPr>
        <w:numPr>
          <w:ilvl w:val="0"/>
          <w:numId w:val="1009"/>
        </w:numPr>
        <w:pStyle w:val="Compact"/>
      </w:pPr>
      <w:r>
        <w:t xml:space="preserve">International Maritime Organization (IMO) - STCW Convention</w:t>
      </w:r>
    </w:p>
    <w:p>
      <w:pPr>
        <w:numPr>
          <w:ilvl w:val="0"/>
          <w:numId w:val="1009"/>
        </w:numPr>
        <w:pStyle w:val="Compact"/>
      </w:pPr>
      <w:r>
        <w:t xml:space="preserve">Indian Maritime University - Training Guidelines for Marine Engineers</w:t>
      </w:r>
    </w:p>
    <w:p>
      <w:pPr>
        <w:pStyle w:val="FirstParagraph"/>
      </w:pPr>
      <w:r>
        <w:rPr>
          <w:bCs/>
          <w:b/>
        </w:rPr>
        <w:t xml:space="preserve">Note:</w:t>
      </w:r>
      <w:r>
        <w:t xml:space="preserve"> </w:t>
      </w:r>
      <w:r>
        <w:t xml:space="preserve">This protocol is subject to periodic review and updates to ensure alignment with the latest industry standards and regulatory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 India New Delhi</dc:title>
  <dc:creator/>
  <dc:language>en</dc:language>
  <cp:keywords/>
  <dcterms:created xsi:type="dcterms:W3CDTF">2026-10-10T02:19:49Z</dcterms:created>
  <dcterms:modified xsi:type="dcterms:W3CDTF">2026-10-10T02:19:49Z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