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66f82abfee1ea601b8e5c1ccba39f50efa2f2bc"/>
    <w:p>
      <w:pPr>
        <w:pStyle w:val="Heading1"/>
      </w:pPr>
      <w:r>
        <w:t xml:space="preserve">Experiment Protocol: Marine Engineer Operational Simulation</w:t>
      </w:r>
    </w:p>
    <w:p>
      <w:pPr>
        <w:pStyle w:val="FirstParagraph"/>
      </w:pPr>
      <w:r>
        <w:rPr>
          <w:bCs/>
          <w:b/>
        </w:rPr>
        <w:t xml:space="preserve">Location:</w:t>
      </w:r>
      <w:r>
        <w:t xml:space="preserve"> </w:t>
      </w:r>
      <w:r>
        <w:t xml:space="preserve">Malaysia Kuala Lumpur (KL Marine Simulation Centre)</w:t>
      </w:r>
    </w:p>
    <w:p>
      <w:pPr>
        <w:pStyle w:val="BodyText"/>
      </w:pPr>
      <w:r>
        <w:rPr>
          <w:bCs/>
          <w:b/>
        </w:rPr>
        <w:t xml:space="preserve">Subject:</w:t>
      </w:r>
      <w:r>
        <w:t xml:space="preserve"> </w:t>
      </w:r>
      <w:r>
        <w:t xml:space="preserve">Marine Engineer Competency Assessment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assessing the technical proficiency of a Marine Engineer within the context of Malaysia Kuala Lumpur maritime training standards. The primary objective is to simulate high-pressure engineering scenarios typical of vessels operating in the South China Sea and the Strait of Malacca. This protocol ensures that the Marine Engineer demonstrates adherence to international safety standards while operating within the regulatory framework of the Marine Department of Malaysia.</w:t>
      </w:r>
    </w:p>
    <w:bookmarkEnd w:id="21"/>
    <w:bookmarkStart w:id="22" w:name="scope-and-applicability"/>
    <w:p>
      <w:pPr>
        <w:pStyle w:val="Heading2"/>
      </w:pPr>
      <w:r>
        <w:t xml:space="preserve">2. Scope and Applicability</w:t>
      </w:r>
    </w:p>
    <w:p>
      <w:pPr>
        <w:pStyle w:val="FirstParagraph"/>
      </w:pPr>
      <w:r>
        <w:t xml:space="preserve">This protocol applies to all Marine Engineer candidates undergoing advanced competency testing at the designated facility in Malaysia Kuala Lumpur. The experiment focuses on:</w:t>
      </w:r>
    </w:p>
    <w:p>
      <w:pPr>
        <w:numPr>
          <w:ilvl w:val="0"/>
          <w:numId w:val="1001"/>
        </w:numPr>
        <w:pStyle w:val="Compact"/>
      </w:pPr>
      <w:r>
        <w:t xml:space="preserve">Emergency response to main engine failure.</w:t>
      </w:r>
    </w:p>
    <w:p>
      <w:pPr>
        <w:numPr>
          <w:ilvl w:val="0"/>
          <w:numId w:val="1001"/>
        </w:numPr>
        <w:pStyle w:val="Compact"/>
      </w:pPr>
      <w:r>
        <w:t xml:space="preserve">Compliance with MARPOL regulations regarding oil discharge.</w:t>
      </w:r>
    </w:p>
    <w:p>
      <w:pPr>
        <w:numPr>
          <w:ilvl w:val="0"/>
          <w:numId w:val="1001"/>
        </w:numPr>
        <w:pStyle w:val="Compact"/>
      </w:pPr>
      <w:r>
        <w:t xml:space="preserve">Efficiency optimization of auxiliary boilers under tropical conditions.</w:t>
      </w:r>
    </w:p>
    <w:bookmarkEnd w:id="22"/>
    <w:bookmarkStart w:id="23" w:name="equipment-and-environment"/>
    <w:p>
      <w:pPr>
        <w:pStyle w:val="Heading2"/>
      </w:pPr>
      <w:r>
        <w:t xml:space="preserve">3. Equipment and Environment</w:t>
      </w:r>
    </w:p>
    <w:p>
      <w:pPr>
        <w:pStyle w:val="FirstParagraph"/>
      </w:pPr>
      <w:r>
        <w:t xml:space="preserve">The experiment will be conducted using a full-mission bridge and engine room simulator located in Malaysia Kuala Lumpur. The simulation environment is calibrated to replicate the humidity, temperature, and operational constraints of the region.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Simulator Type</w:t>
            </w:r>
          </w:p>
        </w:tc>
        <w:tc>
          <w:tcPr/>
          <w:p>
            <w:pPr>
              <w:pStyle w:val="Compact"/>
              <w:jc w:val="left"/>
            </w:pPr>
            <w:r>
              <w:t xml:space="preserve">Full-Mission Engine Room Simulator (ERS)</w:t>
            </w:r>
          </w:p>
        </w:tc>
      </w:tr>
      <w:tr>
        <w:tc>
          <w:tcPr/>
          <w:p>
            <w:pPr>
              <w:pStyle w:val="Compact"/>
              <w:jc w:val="left"/>
            </w:pPr>
            <w:r>
              <w:t xml:space="preserve">Software Version</w:t>
            </w:r>
          </w:p>
        </w:tc>
        <w:tc>
          <w:tcPr/>
          <w:p>
            <w:pPr>
              <w:pStyle w:val="Compact"/>
              <w:jc w:val="left"/>
            </w:pPr>
            <w:r>
              <w:t xml:space="preserve">MarineOps KL Edition v4.2</w:t>
            </w:r>
          </w:p>
        </w:tc>
      </w:tr>
      <w:tr>
        <w:tc>
          <w:tcPr/>
          <w:p>
            <w:pPr>
              <w:pStyle w:val="Compact"/>
              <w:jc w:val="left"/>
            </w:pPr>
            <w:r>
              <w:t xml:space="preserve">Environmental Settings</w:t>
            </w:r>
          </w:p>
        </w:tc>
        <w:tc>
          <w:tcPr/>
          <w:p>
            <w:pPr>
              <w:pStyle w:val="Compact"/>
              <w:jc w:val="left"/>
            </w:pPr>
            <w:r>
              <w:t xml:space="preserve">Tropical: 32°C, 85% Humidity</w:t>
            </w:r>
          </w:p>
        </w:tc>
      </w:tr>
    </w:tbl>
    <w:bookmarkEnd w:id="23"/>
    <w:bookmarkStart w:id="24" w:name="safety-precautions"/>
    <w:p>
      <w:pPr>
        <w:pStyle w:val="Heading2"/>
      </w:pPr>
      <w:r>
        <w:t xml:space="preserve">4. Safety Precautions</w:t>
      </w:r>
    </w:p>
    <w:p>
      <w:pPr>
        <w:pStyle w:val="FirstParagraph"/>
      </w:pPr>
      <w:r>
        <w:rPr>
          <w:bCs/>
          <w:b/>
        </w:rPr>
        <w:t xml:space="preserve">Warning:</w:t>
      </w:r>
      <w:r>
        <w:t xml:space="preserve"> </w:t>
      </w:r>
      <w:r>
        <w:t xml:space="preserve">Although this is a simulation, the Marine Engineer must treat all controls as if they were on a live vessel. Failure to follow protocol may result in disqualification.</w:t>
      </w:r>
    </w:p>
    <w:p>
      <w:pPr>
        <w:pStyle w:val="BodyText"/>
      </w:pPr>
      <w:r>
        <w:t xml:space="preserve">Ensure that all emergency stop buttons are functional. The Marine Engineer must wear standard personal protective equipment (PPE) as required by Malaysia Kuala Lumpur occupational safety guidelines, including safety boots and high-visibility vests.</w:t>
      </w:r>
    </w:p>
    <w:bookmarkEnd w:id="24"/>
    <w:bookmarkStart w:id="29" w:name="experimental-procedure"/>
    <w:p>
      <w:pPr>
        <w:pStyle w:val="Heading2"/>
      </w:pPr>
      <w:r>
        <w:t xml:space="preserve">5. Experimental Procedure</w:t>
      </w:r>
    </w:p>
    <w:bookmarkStart w:id="25" w:name="phase-1-pre-experiment-calibration"/>
    <w:p>
      <w:pPr>
        <w:pStyle w:val="Heading3"/>
      </w:pPr>
      <w:r>
        <w:t xml:space="preserve">5.1 Phase 1: Pre-Experiment Calibration</w:t>
      </w:r>
    </w:p>
    <w:p>
      <w:pPr>
        <w:pStyle w:val="FirstParagraph"/>
      </w:pPr>
      <w:r>
        <w:t xml:space="preserve">The Marine Engineer will perform a standard pre-start checklist. This includes verifying fuel levels, lubricating oil pressure, and cooling water temperatures. The candidate must document these readings in the logbook provided by the Malaysia Kuala Lumpur training center.</w:t>
      </w:r>
    </w:p>
    <w:bookmarkEnd w:id="25"/>
    <w:bookmarkStart w:id="26" w:name="phase-2-main-engine-failure-simulation"/>
    <w:p>
      <w:pPr>
        <w:pStyle w:val="Heading3"/>
      </w:pPr>
      <w:r>
        <w:t xml:space="preserve">5.2 Phase 2: Main Engine Failure Simulation</w:t>
      </w:r>
    </w:p>
    <w:p>
      <w:pPr>
        <w:pStyle w:val="FirstParagraph"/>
      </w:pPr>
      <w:r>
        <w:t xml:space="preserve">At the instructor's discretion, a simulated main engine failure will occur. The Marine Engineer must:</w:t>
      </w:r>
    </w:p>
    <w:p>
      <w:pPr>
        <w:numPr>
          <w:ilvl w:val="0"/>
          <w:numId w:val="1002"/>
        </w:numPr>
        <w:pStyle w:val="Compact"/>
      </w:pPr>
      <w:r>
        <w:t xml:space="preserve">Identify the fault using the engine control system.</w:t>
      </w:r>
    </w:p>
    <w:p>
      <w:pPr>
        <w:numPr>
          <w:ilvl w:val="0"/>
          <w:numId w:val="1002"/>
        </w:numPr>
        <w:pStyle w:val="Compact"/>
      </w:pPr>
      <w:r>
        <w:t xml:space="preserve">Initiate the emergency shutdown procedure.</w:t>
      </w:r>
    </w:p>
    <w:p>
      <w:pPr>
        <w:numPr>
          <w:ilvl w:val="0"/>
          <w:numId w:val="1002"/>
        </w:numPr>
        <w:pStyle w:val="Compact"/>
      </w:pPr>
      <w:r>
        <w:t xml:space="preserve">Switch to emergency power generation.</w:t>
      </w:r>
    </w:p>
    <w:p>
      <w:pPr>
        <w:numPr>
          <w:ilvl w:val="0"/>
          <w:numId w:val="1002"/>
        </w:numPr>
        <w:pStyle w:val="Compact"/>
      </w:pPr>
      <w:r>
        <w:t xml:space="preserve">Communicate the status to the bridge using standard maritime English.</w:t>
      </w:r>
    </w:p>
    <w:bookmarkEnd w:id="26"/>
    <w:bookmarkStart w:id="27" w:name="phase-3-oil-spill-response"/>
    <w:p>
      <w:pPr>
        <w:pStyle w:val="Heading3"/>
      </w:pPr>
      <w:r>
        <w:t xml:space="preserve">5.3 Phase 3: Oil Spill Response</w:t>
      </w:r>
    </w:p>
    <w:p>
      <w:pPr>
        <w:pStyle w:val="FirstParagraph"/>
      </w:pPr>
      <w:r>
        <w:t xml:space="preserve">The simulation will introduce a hypothetical oil leak in the engine room. The Marine Engineer must activate the oil spill response plan compliant with Malaysian environmental laws. This involves deploying containment booms and notifying the relevant authorities in Malaysia Kuala Lumpur.</w:t>
      </w:r>
    </w:p>
    <w:bookmarkEnd w:id="27"/>
    <w:bookmarkStart w:id="28" w:name="phase-4-auxiliary-boiler-optimization"/>
    <w:p>
      <w:pPr>
        <w:pStyle w:val="Heading3"/>
      </w:pPr>
      <w:r>
        <w:t xml:space="preserve">5.4 Phase 4: Auxiliary Boiler Optimization</w:t>
      </w:r>
    </w:p>
    <w:p>
      <w:pPr>
        <w:pStyle w:val="FirstParagraph"/>
      </w:pPr>
      <w:r>
        <w:t xml:space="preserve">The candidate will adjust the auxiliary boiler settings to maintain steam pressure while minimizing fuel consumption. This tests the Marine Engineer's ability to balance efficiency with operational requirements in a tropical climate.</w:t>
      </w:r>
    </w:p>
    <w:bookmarkEnd w:id="28"/>
    <w:bookmarkEnd w:id="29"/>
    <w:bookmarkStart w:id="30" w:name="data-collection-and-analysis"/>
    <w:p>
      <w:pPr>
        <w:pStyle w:val="Heading2"/>
      </w:pPr>
      <w:r>
        <w:t xml:space="preserve">6. Data Collection and Analysis</w:t>
      </w:r>
    </w:p>
    <w:p>
      <w:pPr>
        <w:pStyle w:val="FirstParagraph"/>
      </w:pPr>
      <w:r>
        <w:t xml:space="preserve">Throughout the experiment, the simulator will record the Marine Engineer's actions, response times, and decision-making processes. Key performance indicators (KPIs) include:</w:t>
      </w:r>
    </w:p>
    <w:p>
      <w:pPr>
        <w:numPr>
          <w:ilvl w:val="0"/>
          <w:numId w:val="1003"/>
        </w:numPr>
        <w:pStyle w:val="Compact"/>
      </w:pPr>
      <w:r>
        <w:t xml:space="preserve">Time taken to identify faults.</w:t>
      </w:r>
    </w:p>
    <w:p>
      <w:pPr>
        <w:numPr>
          <w:ilvl w:val="0"/>
          <w:numId w:val="1003"/>
        </w:numPr>
        <w:pStyle w:val="Compact"/>
      </w:pPr>
      <w:r>
        <w:t xml:space="preserve">Accuracy of emergency procedures.</w:t>
      </w:r>
    </w:p>
    <w:p>
      <w:pPr>
        <w:numPr>
          <w:ilvl w:val="0"/>
          <w:numId w:val="1003"/>
        </w:numPr>
        <w:pStyle w:val="Compact"/>
      </w:pPr>
      <w:r>
        <w:t xml:space="preserve">Compliance with safety protocols.</w:t>
      </w:r>
    </w:p>
    <w:p>
      <w:pPr>
        <w:pStyle w:val="FirstParagraph"/>
      </w:pPr>
      <w:r>
        <w:t xml:space="preserve">Data will be analyzed by certified assessors from the Malaysia Kuala Lumpur maritime authority to determine the candidate's competency level.</w:t>
      </w:r>
    </w:p>
    <w:bookmarkEnd w:id="30"/>
    <w:bookmarkStart w:id="31" w:name="conclusion-and-reporting"/>
    <w:p>
      <w:pPr>
        <w:pStyle w:val="Heading2"/>
      </w:pPr>
      <w:r>
        <w:t xml:space="preserve">7. Conclusion and Reporting</w:t>
      </w:r>
    </w:p>
    <w:p>
      <w:pPr>
        <w:pStyle w:val="FirstParagraph"/>
      </w:pPr>
      <w:r>
        <w:t xml:space="preserve">Upon completion of the experiment, the Marine Engineer will receive a detailed report outlining their performance. This report will highlight areas of strength and recommend further training if necessary. The findings of this Experiment Protocol contribute to the ongoing improvement of maritime safety standards in Malaysia Kuala Lumpur.</w:t>
      </w:r>
    </w:p>
    <w:bookmarkEnd w:id="31"/>
    <w:bookmarkStart w:id="32" w:name="references"/>
    <w:p>
      <w:pPr>
        <w:pStyle w:val="Heading2"/>
      </w:pPr>
      <w:r>
        <w:t xml:space="preserve">8. References</w:t>
      </w:r>
    </w:p>
    <w:p>
      <w:pPr>
        <w:numPr>
          <w:ilvl w:val="0"/>
          <w:numId w:val="1004"/>
        </w:numPr>
        <w:pStyle w:val="Compact"/>
      </w:pPr>
      <w:r>
        <w:t xml:space="preserve">Marine Department of Malaysia Regulations.</w:t>
      </w:r>
    </w:p>
    <w:p>
      <w:pPr>
        <w:numPr>
          <w:ilvl w:val="0"/>
          <w:numId w:val="1004"/>
        </w:numPr>
        <w:pStyle w:val="Compact"/>
      </w:pPr>
      <w:r>
        <w:t xml:space="preserve">International Maritime Organization (IMO) Guidelines.</w:t>
      </w:r>
    </w:p>
    <w:p>
      <w:pPr>
        <w:numPr>
          <w:ilvl w:val="0"/>
          <w:numId w:val="1004"/>
        </w:numPr>
        <w:pStyle w:val="Compact"/>
      </w:pPr>
      <w:r>
        <w:t xml:space="preserve">STCW Convention Standards for Marine Engineers.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Malaysia Kuala Lumpur</dc:title>
  <dc:creator/>
  <dc:language>en</dc:language>
  <cp:keywords/>
  <dcterms:created xsi:type="dcterms:W3CDTF">2026-10-10T02:49:03Z</dcterms:created>
  <dcterms:modified xsi:type="dcterms:W3CDTF">2026-10-10T02:49:03Z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