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w:t>
      </w:r>
      <w:r>
        <w:t xml:space="preserve"> </w:t>
      </w:r>
      <w:r>
        <w:t xml:space="preserve">Auckland,</w:t>
      </w:r>
      <w:r>
        <w:t xml:space="preserve"> </w:t>
      </w:r>
      <w:r>
        <w:t xml:space="preserve">New</w:t>
      </w:r>
      <w:r>
        <w:t xml:space="preserve"> </w:t>
      </w:r>
      <w:r>
        <w:t xml:space="preserve">Zealand</w:t>
      </w:r>
    </w:p>
    <w:bookmarkStart w:id="34" w:name="X71875fbec26db44ad37ed6f9a317165337b0d08"/>
    <w:p>
      <w:pPr>
        <w:pStyle w:val="Heading1"/>
      </w:pPr>
      <w:r>
        <w:t xml:space="preserve">Experiment Protocol: Marine Engineer Operational Assessment</w:t>
      </w:r>
    </w:p>
    <w:p>
      <w:pPr>
        <w:pStyle w:val="FirstParagraph"/>
      </w:pPr>
      <w:r>
        <w:rPr>
          <w:bCs/>
          <w:b/>
        </w:rPr>
        <w:t xml:space="preserve">Document ID:</w:t>
      </w:r>
      <w:r>
        <w:t xml:space="preserve"> </w:t>
      </w:r>
      <w:r>
        <w:t xml:space="preserve">NZ-AKL-ME-EXP-2024-001</w:t>
      </w:r>
    </w:p>
    <w:p>
      <w:pPr>
        <w:pStyle w:val="BodyText"/>
      </w:pPr>
      <w:r>
        <w:rPr>
          <w:bCs/>
          <w:b/>
        </w:rPr>
        <w:t xml:space="preserve">Location:</w:t>
      </w:r>
      <w:r>
        <w:t xml:space="preserve"> </w:t>
      </w:r>
      <w:r>
        <w:t xml:space="preserve">Auckland, New Zealand</w:t>
      </w:r>
    </w:p>
    <w:p>
      <w:pPr>
        <w:pStyle w:val="BodyText"/>
      </w:pPr>
      <w:r>
        <w:rPr>
          <w:bCs/>
          <w:b/>
        </w:rPr>
        <w:t xml:space="preserve">Subject:</w:t>
      </w:r>
      <w:r>
        <w:t xml:space="preserve"> </w:t>
      </w:r>
      <w:r>
        <w:t xml:space="preserve">Marine Engineer Performance and System Efficiency Evaluation</w:t>
      </w:r>
    </w:p>
    <w:p>
      <w:pPr>
        <w:pStyle w:val="BodyText"/>
      </w:pPr>
      <w:r>
        <w:rPr>
          <w:bCs/>
          <w:b/>
        </w:rPr>
        <w:t xml:space="preserve">Date:</w:t>
      </w:r>
      <w:r>
        <w:t xml:space="preserve"> </w:t>
      </w:r>
      <w:r>
        <w:t xml:space="preserve">October 2024</w:t>
      </w:r>
    </w:p>
    <w:p>
      <w:pPr>
        <w:pStyle w:val="BodyText"/>
      </w:pPr>
      <w:r>
        <w:rPr>
          <w:bCs/>
          <w:b/>
        </w:rPr>
        <w:t xml:space="preserve">Regulatory Context:</w:t>
      </w:r>
      <w:r>
        <w:t xml:space="preserve"> </w:t>
      </w:r>
      <w:r>
        <w:t xml:space="preserve">Maritime New Zealand (MNZ) Standards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operational competence and decision-making capabilities of a Marine Engineer within the specific maritime environment of Auckland, New Zealand. The primary objective is to assess the engineer's ability to manage complex propulsion systems, adhere to environmental regulations, and respond to emergency scenarios typical of the Hauraki Gulf and Waitematā Harbour operations.</w:t>
      </w:r>
    </w:p>
    <w:p>
      <w:pPr>
        <w:pStyle w:val="BodyText"/>
      </w:pPr>
      <w:r>
        <w:t xml:space="preserve">The assessment focuses on the integration of technical skills with local regulatory requirements, ensuring that the Marine Engineer maintains the highest standards of safety and efficiency as mandated by Maritime New Zealand.</w:t>
      </w:r>
    </w:p>
    <w:bookmarkEnd w:id="20"/>
    <w:bookmarkStart w:id="21" w:name="scope-and-applicability"/>
    <w:p>
      <w:pPr>
        <w:pStyle w:val="Heading2"/>
      </w:pPr>
      <w:r>
        <w:t xml:space="preserve">2. Scope and Applicability</w:t>
      </w:r>
    </w:p>
    <w:p>
      <w:pPr>
        <w:pStyle w:val="FirstParagraph"/>
      </w:pPr>
      <w:r>
        <w:t xml:space="preserve">This protocol applies to all Marine Engineers operating commercial vessels in the Auckland region. It covers:</w:t>
      </w:r>
    </w:p>
    <w:p>
      <w:pPr>
        <w:numPr>
          <w:ilvl w:val="0"/>
          <w:numId w:val="1001"/>
        </w:numPr>
        <w:pStyle w:val="Compact"/>
      </w:pPr>
      <w:r>
        <w:t xml:space="preserve">Propulsion system diagnostics and maintenance.</w:t>
      </w:r>
    </w:p>
    <w:p>
      <w:pPr>
        <w:numPr>
          <w:ilvl w:val="0"/>
          <w:numId w:val="1001"/>
        </w:numPr>
        <w:pStyle w:val="Compact"/>
      </w:pPr>
      <w:r>
        <w:t xml:space="preserve">Compliance with New Zealand's marine pollution prevention laws.</w:t>
      </w:r>
    </w:p>
    <w:p>
      <w:pPr>
        <w:numPr>
          <w:ilvl w:val="0"/>
          <w:numId w:val="1001"/>
        </w:numPr>
        <w:pStyle w:val="Compact"/>
      </w:pPr>
      <w:r>
        <w:t xml:space="preserve">Emergency response procedures specific to Auckland's coastal conditions.</w:t>
      </w:r>
    </w:p>
    <w:p>
      <w:pPr>
        <w:numPr>
          <w:ilvl w:val="0"/>
          <w:numId w:val="1001"/>
        </w:numPr>
        <w:pStyle w:val="Compact"/>
      </w:pPr>
      <w:r>
        <w:t xml:space="preserve">Use of digital monitoring systems and automation.</w:t>
      </w:r>
    </w:p>
    <w:p>
      <w:pPr>
        <w:pStyle w:val="FirstParagraph"/>
      </w:pPr>
      <w:r>
        <w:t xml:space="preserve">The experiment is designed to simulate real-world conditions encountered in Auckland's busy port and surrounding waters, including variable weather patterns and high traffic density.</w:t>
      </w:r>
    </w:p>
    <w:bookmarkEnd w:id="21"/>
    <w:bookmarkStart w:id="25"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experiment will be conducted aboard a designated training vessel or operational ship docked at the Port of Auckland. The location provides access to realistic operational scenarios, including:</w:t>
      </w:r>
    </w:p>
    <w:p>
      <w:pPr>
        <w:numPr>
          <w:ilvl w:val="0"/>
          <w:numId w:val="1002"/>
        </w:numPr>
        <w:pStyle w:val="Compact"/>
      </w:pPr>
      <w:r>
        <w:t xml:space="preserve">Maneuvering in confined waters of the Waitematā Harbour.</w:t>
      </w:r>
    </w:p>
    <w:p>
      <w:pPr>
        <w:numPr>
          <w:ilvl w:val="0"/>
          <w:numId w:val="1002"/>
        </w:numPr>
        <w:pStyle w:val="Compact"/>
      </w:pPr>
      <w:r>
        <w:t xml:space="preserve">Exposure to typical Auckland weather conditions, including wind and tidal variations.</w:t>
      </w:r>
    </w:p>
    <w:p>
      <w:pPr>
        <w:numPr>
          <w:ilvl w:val="0"/>
          <w:numId w:val="1002"/>
        </w:numPr>
        <w:pStyle w:val="Compact"/>
      </w:pPr>
      <w:r>
        <w:t xml:space="preserve">Proximity to sensitive marine ecosystems requiring strict environmental controls.</w:t>
      </w:r>
    </w:p>
    <w:bookmarkEnd w:id="22"/>
    <w:bookmarkStart w:id="23" w:name="equipment-and-tools"/>
    <w:p>
      <w:pPr>
        <w:pStyle w:val="Heading3"/>
      </w:pPr>
      <w:r>
        <w:t xml:space="preserve">3.2 Equipment and Tools</w:t>
      </w:r>
    </w:p>
    <w:p>
      <w:pPr>
        <w:pStyle w:val="FirstParagraph"/>
      </w:pPr>
      <w:r>
        <w:t xml:space="preserve">The following equipment will be utilized during the experiment:</w:t>
      </w:r>
    </w:p>
    <w:p>
      <w:pPr>
        <w:numPr>
          <w:ilvl w:val="0"/>
          <w:numId w:val="1003"/>
        </w:numPr>
        <w:pStyle w:val="Compact"/>
      </w:pPr>
      <w:r>
        <w:t xml:space="preserve">Main and auxiliary diesel engines.</w:t>
      </w:r>
    </w:p>
    <w:p>
      <w:pPr>
        <w:numPr>
          <w:ilvl w:val="0"/>
          <w:numId w:val="1003"/>
        </w:numPr>
        <w:pStyle w:val="Compact"/>
      </w:pPr>
      <w:r>
        <w:t xml:space="preserve">Bow and stern thruster systems.</w:t>
      </w:r>
    </w:p>
    <w:p>
      <w:pPr>
        <w:numPr>
          <w:ilvl w:val="0"/>
          <w:numId w:val="1003"/>
        </w:numPr>
        <w:pStyle w:val="Compact"/>
      </w:pPr>
      <w:r>
        <w:t xml:space="preserve">Oil-water separators and waste management systems.</w:t>
      </w:r>
    </w:p>
    <w:p>
      <w:pPr>
        <w:numPr>
          <w:ilvl w:val="0"/>
          <w:numId w:val="1003"/>
        </w:numPr>
        <w:pStyle w:val="Compact"/>
      </w:pPr>
      <w:r>
        <w:t xml:space="preserve">Digital engine monitoring and control panels.</w:t>
      </w:r>
    </w:p>
    <w:p>
      <w:pPr>
        <w:numPr>
          <w:ilvl w:val="0"/>
          <w:numId w:val="1003"/>
        </w:numPr>
        <w:pStyle w:val="Compact"/>
      </w:pPr>
      <w:r>
        <w:t xml:space="preserve">Communication devices for coordination with the bridge and port authorities.</w:t>
      </w:r>
    </w:p>
    <w:bookmarkEnd w:id="23"/>
    <w:bookmarkStart w:id="24" w:name="personnel"/>
    <w:p>
      <w:pPr>
        <w:pStyle w:val="Heading3"/>
      </w:pPr>
      <w:r>
        <w:t xml:space="preserve">3.3 Personnel</w:t>
      </w:r>
    </w:p>
    <w:p>
      <w:pPr>
        <w:pStyle w:val="FirstParagraph"/>
      </w:pPr>
      <w:r>
        <w:t xml:space="preserve">The experiment involves:</w:t>
      </w:r>
    </w:p>
    <w:p>
      <w:pPr>
        <w:numPr>
          <w:ilvl w:val="0"/>
          <w:numId w:val="1004"/>
        </w:numPr>
        <w:pStyle w:val="Compact"/>
      </w:pPr>
      <w:r>
        <w:t xml:space="preserve">One Marine Engineer (subject of assessment).</w:t>
      </w:r>
    </w:p>
    <w:p>
      <w:pPr>
        <w:numPr>
          <w:ilvl w:val="0"/>
          <w:numId w:val="1004"/>
        </w:numPr>
        <w:pStyle w:val="Compact"/>
      </w:pPr>
      <w:r>
        <w:t xml:space="preserve">Two assessors certified by Maritime New Zealand.</w:t>
      </w:r>
    </w:p>
    <w:p>
      <w:pPr>
        <w:numPr>
          <w:ilvl w:val="0"/>
          <w:numId w:val="1004"/>
        </w:numPr>
        <w:pStyle w:val="Compact"/>
      </w:pPr>
      <w:r>
        <w:t xml:space="preserve">Support crew for safety and logistical assistance.</w:t>
      </w:r>
    </w:p>
    <w:bookmarkEnd w:id="24"/>
    <w:bookmarkEnd w:id="25"/>
    <w:bookmarkStart w:id="29" w:name="procedure"/>
    <w:p>
      <w:pPr>
        <w:pStyle w:val="Heading2"/>
      </w:pPr>
      <w:r>
        <w:t xml:space="preserve">4. Procedure</w:t>
      </w:r>
    </w:p>
    <w:bookmarkStart w:id="26" w:name="pre-experiment-briefing"/>
    <w:p>
      <w:pPr>
        <w:pStyle w:val="Heading3"/>
      </w:pPr>
      <w:r>
        <w:t xml:space="preserve">4.1 Pre-Experiment Briefing</w:t>
      </w:r>
    </w:p>
    <w:p>
      <w:pPr>
        <w:pStyle w:val="FirstParagraph"/>
      </w:pPr>
      <w:r>
        <w:t xml:space="preserve">All participants will attend a briefing to review the experiment objectives, safety protocols, and specific scenarios. The Marine Engineer will be informed of the general scope but not the detailed sequence of events to ensure authentic responses.</w:t>
      </w:r>
    </w:p>
    <w:bookmarkEnd w:id="26"/>
    <w:bookmarkStart w:id="27" w:name="operational-scenarios"/>
    <w:p>
      <w:pPr>
        <w:pStyle w:val="Heading3"/>
      </w:pPr>
      <w:r>
        <w:t xml:space="preserve">4.2 Operational Scenarios</w:t>
      </w:r>
    </w:p>
    <w:p>
      <w:pPr>
        <w:pStyle w:val="FirstParagraph"/>
      </w:pPr>
      <w:r>
        <w:t xml:space="preserve">The experiment consists of three main phases:</w:t>
      </w:r>
    </w:p>
    <w:p>
      <w:pPr>
        <w:numPr>
          <w:ilvl w:val="0"/>
          <w:numId w:val="1005"/>
        </w:numPr>
        <w:pStyle w:val="Compact"/>
      </w:pPr>
      <w:r>
        <w:rPr>
          <w:bCs/>
          <w:b/>
        </w:rPr>
        <w:t xml:space="preserve">System Inspection and Startup:</w:t>
      </w:r>
      <w:r>
        <w:t xml:space="preserve"> </w:t>
      </w:r>
      <w:r>
        <w:t xml:space="preserve">The Marine Engineer will perform a comprehensive inspection of the engine room, identify any anomalies, and execute the startup procedure for main and auxiliary engines. Assessors will evaluate adherence to checklists and safety protocols.</w:t>
      </w:r>
    </w:p>
    <w:p>
      <w:pPr>
        <w:numPr>
          <w:ilvl w:val="0"/>
          <w:numId w:val="1005"/>
        </w:numPr>
        <w:pStyle w:val="Compact"/>
      </w:pPr>
      <w:r>
        <w:rPr>
          <w:bCs/>
          <w:b/>
        </w:rPr>
        <w:t xml:space="preserve">Environmental Compliance Test:</w:t>
      </w:r>
      <w:r>
        <w:t xml:space="preserve"> </w:t>
      </w:r>
      <w:r>
        <w:t xml:space="preserve">The engineer will manage waste disposal and emissions control systems, ensuring compliance with New Zealand's marine environmental regulations. This includes operating oil-water separators and documenting waste handling procedures.</w:t>
      </w:r>
    </w:p>
    <w:p>
      <w:pPr>
        <w:numPr>
          <w:ilvl w:val="0"/>
          <w:numId w:val="1005"/>
        </w:numPr>
        <w:pStyle w:val="Compact"/>
      </w:pPr>
      <w:r>
        <w:rPr>
          <w:bCs/>
          <w:b/>
        </w:rPr>
        <w:t xml:space="preserve">Emergency Response Simulation:</w:t>
      </w:r>
      <w:r>
        <w:t xml:space="preserve"> </w:t>
      </w:r>
      <w:r>
        <w:t xml:space="preserve">A simulated emergency, such as engine failure or fire, will be introduced. The Marine Engineer must diagnose the issue, implement corrective actions, and communicate effectively with the bridge and emergency services.</w:t>
      </w:r>
    </w:p>
    <w:bookmarkEnd w:id="27"/>
    <w:bookmarkStart w:id="28" w:name="data-collection"/>
    <w:p>
      <w:pPr>
        <w:pStyle w:val="Heading3"/>
      </w:pPr>
      <w:r>
        <w:t xml:space="preserve">4.3 Data Collection</w:t>
      </w:r>
    </w:p>
    <w:p>
      <w:pPr>
        <w:pStyle w:val="FirstParagraph"/>
      </w:pPr>
      <w:r>
        <w:t xml:space="preserve">Assessors will record observations using standardized evaluation forms. Key metrics include:</w:t>
      </w:r>
    </w:p>
    <w:p>
      <w:pPr>
        <w:numPr>
          <w:ilvl w:val="0"/>
          <w:numId w:val="1006"/>
        </w:numPr>
        <w:pStyle w:val="Compact"/>
      </w:pPr>
      <w:r>
        <w:t xml:space="preserve">Time taken to identify and resolve issues.</w:t>
      </w:r>
    </w:p>
    <w:p>
      <w:pPr>
        <w:numPr>
          <w:ilvl w:val="0"/>
          <w:numId w:val="1006"/>
        </w:numPr>
        <w:pStyle w:val="Compact"/>
      </w:pPr>
      <w:r>
        <w:t xml:space="preserve">Accuracy of technical procedures.</w:t>
      </w:r>
    </w:p>
    <w:p>
      <w:pPr>
        <w:numPr>
          <w:ilvl w:val="0"/>
          <w:numId w:val="1006"/>
        </w:numPr>
        <w:pStyle w:val="Compact"/>
      </w:pPr>
      <w:r>
        <w:t xml:space="preserve">Compliance with safety and environmental regulations.</w:t>
      </w:r>
    </w:p>
    <w:p>
      <w:pPr>
        <w:numPr>
          <w:ilvl w:val="0"/>
          <w:numId w:val="1006"/>
        </w:numPr>
        <w:pStyle w:val="Compact"/>
      </w:pPr>
      <w:r>
        <w:t xml:space="preserve">Quality of communication and teamwork.</w:t>
      </w:r>
    </w:p>
    <w:bookmarkEnd w:id="28"/>
    <w:bookmarkEnd w:id="29"/>
    <w:bookmarkStart w:id="30" w:name="safety-and-risk-management"/>
    <w:p>
      <w:pPr>
        <w:pStyle w:val="Heading2"/>
      </w:pPr>
      <w:r>
        <w:t xml:space="preserve">5. Safety and Risk Management</w:t>
      </w:r>
    </w:p>
    <w:p>
      <w:pPr>
        <w:pStyle w:val="FirstParagraph"/>
      </w:pPr>
      <w:r>
        <w:t xml:space="preserve">Safety is paramount throughout the experiment. The following measures will be implemented:</w:t>
      </w:r>
    </w:p>
    <w:p>
      <w:pPr>
        <w:numPr>
          <w:ilvl w:val="0"/>
          <w:numId w:val="1007"/>
        </w:numPr>
        <w:pStyle w:val="Compact"/>
      </w:pPr>
      <w:r>
        <w:t xml:space="preserve">All personnel must wear appropriate personal protective equipment (PPE).</w:t>
      </w:r>
    </w:p>
    <w:p>
      <w:pPr>
        <w:numPr>
          <w:ilvl w:val="0"/>
          <w:numId w:val="1007"/>
        </w:numPr>
        <w:pStyle w:val="Compact"/>
      </w:pPr>
      <w:r>
        <w:t xml:space="preserve">A safety officer will be present to halt the experiment if risks arise.</w:t>
      </w:r>
    </w:p>
    <w:p>
      <w:pPr>
        <w:numPr>
          <w:ilvl w:val="0"/>
          <w:numId w:val="1007"/>
        </w:numPr>
        <w:pStyle w:val="Compact"/>
      </w:pPr>
      <w:r>
        <w:t xml:space="preserve">Emergency shutdown procedures will be clearly communicated and accessible.</w:t>
      </w:r>
    </w:p>
    <w:p>
      <w:pPr>
        <w:numPr>
          <w:ilvl w:val="0"/>
          <w:numId w:val="1007"/>
        </w:numPr>
        <w:pStyle w:val="Compact"/>
      </w:pPr>
      <w:r>
        <w:t xml:space="preserve">The experiment will comply with all Maritime New Zealand safety standards.</w:t>
      </w:r>
    </w:p>
    <w:bookmarkEnd w:id="30"/>
    <w:bookmarkStart w:id="31" w:name="evaluation-criteria"/>
    <w:p>
      <w:pPr>
        <w:pStyle w:val="Heading2"/>
      </w:pPr>
      <w:r>
        <w:t xml:space="preserve">6. Evaluation Criteria</w:t>
      </w:r>
    </w:p>
    <w:p>
      <w:pPr>
        <w:pStyle w:val="FirstParagraph"/>
      </w:pPr>
      <w:r>
        <w:t xml:space="preserve">The Marine Engineer's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Competence</w:t>
            </w:r>
          </w:p>
        </w:tc>
        <w:tc>
          <w:tcPr/>
          <w:p>
            <w:pPr>
              <w:pStyle w:val="Compact"/>
              <w:jc w:val="left"/>
            </w:pPr>
            <w:r>
              <w:t xml:space="preserve">Ability to operate and troubleshoot marine systems.</w:t>
            </w:r>
          </w:p>
        </w:tc>
        <w:tc>
          <w:tcPr/>
          <w:p>
            <w:pPr>
              <w:pStyle w:val="Compact"/>
              <w:jc w:val="left"/>
            </w:pPr>
            <w:r>
              <w:t xml:space="preserve">40%</w:t>
            </w:r>
          </w:p>
        </w:tc>
      </w:tr>
      <w:tr>
        <w:tc>
          <w:tcPr/>
          <w:p>
            <w:pPr>
              <w:pStyle w:val="Compact"/>
              <w:jc w:val="left"/>
            </w:pPr>
            <w:r>
              <w:t xml:space="preserve">Regulatory Compliance</w:t>
            </w:r>
          </w:p>
        </w:tc>
        <w:tc>
          <w:tcPr/>
          <w:p>
            <w:pPr>
              <w:pStyle w:val="Compact"/>
              <w:jc w:val="left"/>
            </w:pPr>
            <w:r>
              <w:t xml:space="preserve">Adherence to New Zealand maritime laws and environmental standards.</w:t>
            </w:r>
          </w:p>
        </w:tc>
        <w:tc>
          <w:tcPr/>
          <w:p>
            <w:pPr>
              <w:pStyle w:val="Compact"/>
              <w:jc w:val="left"/>
            </w:pPr>
            <w:r>
              <w:t xml:space="preserve">30%</w:t>
            </w:r>
          </w:p>
        </w:tc>
      </w:tr>
      <w:tr>
        <w:tc>
          <w:tcPr/>
          <w:p>
            <w:pPr>
              <w:pStyle w:val="Compact"/>
              <w:jc w:val="left"/>
            </w:pPr>
            <w:r>
              <w:t xml:space="preserve">Emergency Response</w:t>
            </w:r>
          </w:p>
        </w:tc>
        <w:tc>
          <w:tcPr/>
          <w:p>
            <w:pPr>
              <w:pStyle w:val="Compact"/>
              <w:jc w:val="left"/>
            </w:pPr>
            <w:r>
              <w:t xml:space="preserve">Effectiveness in handling simulated emergencies.</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and timeliness of communication with crew and authorities.</w:t>
            </w:r>
          </w:p>
        </w:tc>
        <w:tc>
          <w:tcPr/>
          <w:p>
            <w:pPr>
              <w:pStyle w:val="Compact"/>
              <w:jc w:val="left"/>
            </w:pPr>
            <w:r>
              <w:t xml:space="preserve">10%</w:t>
            </w:r>
          </w:p>
        </w:tc>
      </w:tr>
    </w:tbl>
    <w:bookmarkEnd w:id="31"/>
    <w:bookmarkStart w:id="32" w:name="reporting-and-documentation"/>
    <w:p>
      <w:pPr>
        <w:pStyle w:val="Heading2"/>
      </w:pPr>
      <w:r>
        <w:t xml:space="preserve">7. Reporting and Documentation</w:t>
      </w:r>
    </w:p>
    <w:p>
      <w:pPr>
        <w:pStyle w:val="FirstParagraph"/>
      </w:pPr>
      <w:r>
        <w:t xml:space="preserve">Upon completion of the experiment, a detailed report will be generated, including:</w:t>
      </w:r>
    </w:p>
    <w:p>
      <w:pPr>
        <w:numPr>
          <w:ilvl w:val="0"/>
          <w:numId w:val="1008"/>
        </w:numPr>
        <w:pStyle w:val="Compact"/>
      </w:pPr>
      <w:r>
        <w:t xml:space="preserve">Summary of the Marine Engineer's performance.</w:t>
      </w:r>
    </w:p>
    <w:p>
      <w:pPr>
        <w:numPr>
          <w:ilvl w:val="0"/>
          <w:numId w:val="1008"/>
        </w:numPr>
        <w:pStyle w:val="Compact"/>
      </w:pPr>
      <w:r>
        <w:t xml:space="preserve">Identification of strengths and areas for improvement.</w:t>
      </w:r>
    </w:p>
    <w:p>
      <w:pPr>
        <w:numPr>
          <w:ilvl w:val="0"/>
          <w:numId w:val="1008"/>
        </w:numPr>
        <w:pStyle w:val="Compact"/>
      </w:pPr>
      <w:r>
        <w:t xml:space="preserve">Recommendations for further training or certification.</w:t>
      </w:r>
    </w:p>
    <w:p>
      <w:pPr>
        <w:numPr>
          <w:ilvl w:val="0"/>
          <w:numId w:val="1008"/>
        </w:numPr>
        <w:pStyle w:val="Compact"/>
      </w:pPr>
      <w:r>
        <w:t xml:space="preserve">Documentation of compliance with Auckland and New Zealand maritime regulations.</w:t>
      </w:r>
    </w:p>
    <w:p>
      <w:pPr>
        <w:pStyle w:val="FirstParagraph"/>
      </w:pPr>
      <w:r>
        <w:t xml:space="preserve">The report will be submitted to the relevant maritime authorities and the vessel's management for review.</w:t>
      </w:r>
    </w:p>
    <w:bookmarkEnd w:id="32"/>
    <w:bookmarkStart w:id="33" w:name="conclusion"/>
    <w:p>
      <w:pPr>
        <w:pStyle w:val="Heading2"/>
      </w:pPr>
      <w:r>
        <w:t xml:space="preserve">8. Conclusion</w:t>
      </w:r>
    </w:p>
    <w:p>
      <w:pPr>
        <w:pStyle w:val="FirstParagraph"/>
      </w:pPr>
      <w:r>
        <w:t xml:space="preserve">This Experiment Protocol provides a structured approach to assessing the capabilities of a Marine Engineer in the context of Auckland, New Zealand. By focusing on technical skills, regulatory compliance, and emergency response, the protocol ensures that engineers are well-prepared to operate safely and efficiently in the region's unique maritime environment.</w:t>
      </w:r>
    </w:p>
    <w:bookmarkEnd w:id="33"/>
    <w:p>
      <w:pPr>
        <w:pStyle w:val="BodyText"/>
      </w:pPr>
      <w:r>
        <w:rPr>
          <w:bCs/>
          <w:b/>
        </w:rPr>
        <w:t xml:space="preserve">Note:</w:t>
      </w:r>
      <w:r>
        <w:t xml:space="preserve"> </w:t>
      </w:r>
      <w:r>
        <w:t xml:space="preserve">This document is a template and should be adapted to specific vessel types and operational requirements. Always consult with Maritime New Zealand for the latest regulatory updates.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 Auckland, New Zealand</dc:title>
  <dc:creator/>
  <dc:language>en</dc:language>
  <cp:keywords/>
  <dcterms:created xsi:type="dcterms:W3CDTF">2026-10-10T03:16:08Z</dcterms:created>
  <dcterms:modified xsi:type="dcterms:W3CDTF">2026-10-10T03:16:08Z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