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Document ID:</w:t>
      </w:r>
      <w:r>
        <w:t xml:space="preserve"> </w:t>
      </w:r>
      <w:r>
        <w:t xml:space="preserve">EP-ME-RSP-2023-001</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Russia Saint Petersburg</w:t>
      </w:r>
      <w:r>
        <w:br/>
      </w:r>
      <w:r>
        <w:rPr>
          <w:bCs/>
          <w:b/>
        </w:rPr>
        <w:t xml:space="preserve">Facility:</w:t>
      </w:r>
      <w:r>
        <w:t xml:space="preserve"> </w:t>
      </w:r>
      <w:r>
        <w:t xml:space="preserve">Baltic Shipyard Technical Testing Center</w:t>
      </w:r>
      <w:r>
        <w:br/>
      </w:r>
      <w:r>
        <w:rPr>
          <w:bCs/>
          <w:b/>
        </w:rPr>
        <w:t xml:space="preserve">Classification:</w:t>
      </w:r>
      <w:r>
        <w:t xml:space="preserve"> </w:t>
      </w:r>
      <w:r>
        <w:t xml:space="preserve">Internal Use Only</w:t>
      </w:r>
    </w:p>
    <w:bookmarkStart w:id="33" w:name="Xdf1a665c87b1525c37a5395c3fe41680d92f087"/>
    <w:p>
      <w:pPr>
        <w:pStyle w:val="Heading1"/>
      </w:pPr>
      <w:r>
        <w:t xml:space="preserve">Experiment Protocol: Marine Engineer Operational Assessment in Russia Saint Petersburg</w:t>
      </w:r>
    </w:p>
    <w:bookmarkStart w:id="20" w:name="introduction-and-objective"/>
    <w:p>
      <w:pPr>
        <w:pStyle w:val="Heading2"/>
      </w:pPr>
      <w:r>
        <w:t xml:space="preserve">1. Introduction and Objective</w:t>
      </w:r>
    </w:p>
    <w:p>
      <w:pPr>
        <w:pStyle w:val="FirstParagraph"/>
      </w:pPr>
      <w:r>
        <w:t xml:space="preserve">This Experiment Protocol outlines the procedures, methodologies, and safety requirements for conducting a comprehensive operational assessment of a Marine Engineer within the maritime infrastructure of Russia Saint Petersburg. The primary objective is to evaluate the technical proficiency, decision-making capabilities, and emergency response skills of the Marine Engineer under simulated and controlled conditions specific to the environmental and regulatory context of the Baltic Sea region.</w:t>
      </w:r>
    </w:p>
    <w:p>
      <w:pPr>
        <w:pStyle w:val="BodyText"/>
      </w:pPr>
      <w:r>
        <w:t xml:space="preserve">Given the strategic importance of Russia Saint Petersburg as a major port and shipbuilding hub, this protocol ensures that all Marine Engineers meet the rigorous standards required for maintaining vessel integrity, optimizing engine performance, and ensuring crew safety in challenging northern waters.</w:t>
      </w:r>
    </w:p>
    <w:bookmarkEnd w:id="20"/>
    <w:bookmarkStart w:id="21" w:name="scope-and-applicability"/>
    <w:p>
      <w:pPr>
        <w:pStyle w:val="Heading2"/>
      </w:pPr>
      <w:r>
        <w:t xml:space="preserve">2. Scope and Applicability</w:t>
      </w:r>
    </w:p>
    <w:p>
      <w:pPr>
        <w:pStyle w:val="FirstParagraph"/>
      </w:pPr>
      <w:r>
        <w:t xml:space="preserve">This protocol applies to all Marine Engineers undergoing certification or re-certification at the designated testing facilities in Russia Saint Petersburg. It covers both theoretical knowledge assessments and practical hands-on evaluations involving main propulsion systems, auxiliary machinery, and emergency shutdown procedures.</w:t>
      </w:r>
    </w:p>
    <w:p>
      <w:pPr>
        <w:pStyle w:val="BodyText"/>
      </w:pPr>
      <w:r>
        <w:t xml:space="preserve">The scope includes compliance with Russian Maritime Register of Shipping (RS) regulations, International Maritime Organization (IMO) standards, and local environmental protection laws applicable to operations in the Gulf of Finland.</w:t>
      </w:r>
    </w:p>
    <w:bookmarkEnd w:id="21"/>
    <w:bookmarkStart w:id="25" w:name="experimental-setup-and-environment"/>
    <w:p>
      <w:pPr>
        <w:pStyle w:val="Heading2"/>
      </w:pPr>
      <w:r>
        <w:t xml:space="preserve">3. Experimental Setup and Environment</w:t>
      </w:r>
    </w:p>
    <w:bookmarkStart w:id="22" w:name="location-details"/>
    <w:p>
      <w:pPr>
        <w:pStyle w:val="Heading3"/>
      </w:pPr>
      <w:r>
        <w:t xml:space="preserve">3.1 Location Details</w:t>
      </w:r>
    </w:p>
    <w:p>
      <w:pPr>
        <w:pStyle w:val="FirstParagraph"/>
      </w:pPr>
      <w:r>
        <w:t xml:space="preserve">The experiment will be conducted at the Baltic Shipyard Technical Testing Center located in Russia Saint Petersburg. This facility is equipped with full-scale engine simulators, hydraulic systems, and electrical distribution boards representative of modern merchant vessels operating in the Baltic Sea.</w:t>
      </w:r>
    </w:p>
    <w:bookmarkEnd w:id="22"/>
    <w:bookmarkStart w:id="23" w:name="equipment-and-tools"/>
    <w:p>
      <w:pPr>
        <w:pStyle w:val="Heading3"/>
      </w:pPr>
      <w:r>
        <w:t xml:space="preserve">3.2 Equipment and Tools</w:t>
      </w:r>
    </w:p>
    <w:p>
      <w:pPr>
        <w:numPr>
          <w:ilvl w:val="0"/>
          <w:numId w:val="1001"/>
        </w:numPr>
        <w:pStyle w:val="Compact"/>
      </w:pPr>
      <w:r>
        <w:t xml:space="preserve">Main Engine Simulator (MAN B&amp;W or equivalent)</w:t>
      </w:r>
    </w:p>
    <w:p>
      <w:pPr>
        <w:numPr>
          <w:ilvl w:val="0"/>
          <w:numId w:val="1001"/>
        </w:numPr>
        <w:pStyle w:val="Compact"/>
      </w:pPr>
      <w:r>
        <w:t xml:space="preserve">Auxiliary Boiler Control Panel</w:t>
      </w:r>
    </w:p>
    <w:p>
      <w:pPr>
        <w:numPr>
          <w:ilvl w:val="0"/>
          <w:numId w:val="1001"/>
        </w:numPr>
        <w:pStyle w:val="Compact"/>
      </w:pPr>
      <w:r>
        <w:t xml:space="preserve">Emergency Fire Pump System</w:t>
      </w:r>
    </w:p>
    <w:p>
      <w:pPr>
        <w:numPr>
          <w:ilvl w:val="0"/>
          <w:numId w:val="1001"/>
        </w:numPr>
        <w:pStyle w:val="Compact"/>
      </w:pPr>
      <w:r>
        <w:t xml:space="preserve">Ballast Water Treatment System Interface</w:t>
      </w:r>
    </w:p>
    <w:p>
      <w:pPr>
        <w:numPr>
          <w:ilvl w:val="0"/>
          <w:numId w:val="1001"/>
        </w:numPr>
        <w:pStyle w:val="Compact"/>
      </w:pPr>
      <w:r>
        <w:t xml:space="preserve">Personal Protective Equipment (PPE) compliant with GOST standards</w:t>
      </w:r>
    </w:p>
    <w:bookmarkEnd w:id="23"/>
    <w:bookmarkStart w:id="24" w:name="environmental-conditions"/>
    <w:p>
      <w:pPr>
        <w:pStyle w:val="Heading3"/>
      </w:pPr>
      <w:r>
        <w:t xml:space="preserve">3.3 Environmental Conditions</w:t>
      </w:r>
    </w:p>
    <w:p>
      <w:pPr>
        <w:pStyle w:val="FirstParagraph"/>
      </w:pPr>
      <w:r>
        <w:t xml:space="preserve">Simulations will replicate typical winter conditions in Russia Saint Petersburg, including temperatures ranging from -10°C to +5°C, high humidity, and potential ice formation on deck equipment. These conditions are critical for assessing the Marine Engineer's ability to maintain operational readiness in adverse weather.</w:t>
      </w:r>
    </w:p>
    <w:bookmarkEnd w:id="24"/>
    <w:bookmarkEnd w:id="25"/>
    <w:bookmarkStart w:id="29" w:name="methodology"/>
    <w:p>
      <w:pPr>
        <w:pStyle w:val="Heading2"/>
      </w:pPr>
      <w:r>
        <w:t xml:space="preserve">4. Methodology</w:t>
      </w:r>
    </w:p>
    <w:bookmarkStart w:id="26" w:name="phase-1-theoretical-knowledge-assessment"/>
    <w:p>
      <w:pPr>
        <w:pStyle w:val="Heading3"/>
      </w:pPr>
      <w:r>
        <w:t xml:space="preserve">4.1 Phase 1: Theoretical Knowledge Assessment</w:t>
      </w:r>
    </w:p>
    <w:p>
      <w:pPr>
        <w:pStyle w:val="FirstParagraph"/>
      </w:pPr>
      <w:r>
        <w:t xml:space="preserve">The Marine Engineer will complete a written examination covering topics such as thermodynamics, fluid mechanics, electrical systems, and Russian maritime law. Questions will be tailored to scenarios commonly encountered in Russia Saint Petersburg ports and surrounding waters.</w:t>
      </w:r>
    </w:p>
    <w:bookmarkEnd w:id="26"/>
    <w:bookmarkStart w:id="27" w:name="phase-2-practical-skills-evaluation"/>
    <w:p>
      <w:pPr>
        <w:pStyle w:val="Heading3"/>
      </w:pPr>
      <w:r>
        <w:t xml:space="preserve">4.2 Phase 2: Practical Skills Evaluation</w:t>
      </w:r>
    </w:p>
    <w:p>
      <w:pPr>
        <w:pStyle w:val="FirstParagraph"/>
      </w:pPr>
      <w:r>
        <w:t xml:space="preserve">The candidate will perform the following tasks under supervision:</w:t>
      </w:r>
    </w:p>
    <w:p>
      <w:pPr>
        <w:numPr>
          <w:ilvl w:val="0"/>
          <w:numId w:val="1002"/>
        </w:numPr>
        <w:pStyle w:val="Compact"/>
      </w:pPr>
      <w:r>
        <w:t xml:space="preserve">Start-up and shutdown of the main engine simulator.</w:t>
      </w:r>
    </w:p>
    <w:p>
      <w:pPr>
        <w:numPr>
          <w:ilvl w:val="0"/>
          <w:numId w:val="1002"/>
        </w:numPr>
        <w:pStyle w:val="Compact"/>
      </w:pPr>
      <w:r>
        <w:t xml:space="preserve">Diagnosis and repair of a simulated fuel injection fault.</w:t>
      </w:r>
    </w:p>
    <w:p>
      <w:pPr>
        <w:numPr>
          <w:ilvl w:val="0"/>
          <w:numId w:val="1002"/>
        </w:numPr>
        <w:pStyle w:val="Compact"/>
      </w:pPr>
      <w:r>
        <w:t xml:space="preserve">Operation of the ballast water treatment system in accordance with IMO D-2 standards.</w:t>
      </w:r>
    </w:p>
    <w:p>
      <w:pPr>
        <w:numPr>
          <w:ilvl w:val="0"/>
          <w:numId w:val="1002"/>
        </w:numPr>
        <w:pStyle w:val="Compact"/>
      </w:pPr>
      <w:r>
        <w:t xml:space="preserve">Execution of an emergency blackout recovery procedure.</w:t>
      </w:r>
    </w:p>
    <w:bookmarkEnd w:id="27"/>
    <w:bookmarkStart w:id="28" w:name="phase-3-emergency-response-drill"/>
    <w:p>
      <w:pPr>
        <w:pStyle w:val="Heading3"/>
      </w:pPr>
      <w:r>
        <w:t xml:space="preserve">4.3 Phase 3: Emergency Response Drill</w:t>
      </w:r>
    </w:p>
    <w:p>
      <w:pPr>
        <w:pStyle w:val="FirstParagraph"/>
      </w:pPr>
      <w:r>
        <w:t xml:space="preserve">A controlled emergency scenario will be initiated, simulating a fire in the engine room. The Marine Engineer must demonstrate proper use of fire suppression systems, communication protocols, and evacuation procedures specific to vessels docked in Russia Saint Petersburg.</w:t>
      </w:r>
    </w:p>
    <w:bookmarkEnd w:id="28"/>
    <w:bookmarkEnd w:id="29"/>
    <w:bookmarkStart w:id="30" w:name="safety-protocols"/>
    <w:p>
      <w:pPr>
        <w:pStyle w:val="Heading2"/>
      </w:pPr>
      <w:r>
        <w:t xml:space="preserve">5. Safety Protocols</w:t>
      </w:r>
    </w:p>
    <w:p>
      <w:pPr>
        <w:pStyle w:val="FirstParagraph"/>
      </w:pPr>
      <w:r>
        <w:t xml:space="preserve">Safety is paramount throughout the experiment. All participants must adhere to the following guidelines:</w:t>
      </w:r>
    </w:p>
    <w:p>
      <w:pPr>
        <w:numPr>
          <w:ilvl w:val="0"/>
          <w:numId w:val="1003"/>
        </w:numPr>
        <w:pStyle w:val="Compact"/>
      </w:pPr>
      <w:r>
        <w:t xml:space="preserve">Wear appropriate PPE at all times, including flame-resistant clothing, safety boots, and hearing protection.</w:t>
      </w:r>
    </w:p>
    <w:p>
      <w:pPr>
        <w:numPr>
          <w:ilvl w:val="0"/>
          <w:numId w:val="1003"/>
        </w:numPr>
        <w:pStyle w:val="Compact"/>
      </w:pPr>
      <w:r>
        <w:t xml:space="preserve">Follow lockout/tagout procedures when working on live systems.</w:t>
      </w:r>
    </w:p>
    <w:p>
      <w:pPr>
        <w:numPr>
          <w:ilvl w:val="0"/>
          <w:numId w:val="1003"/>
        </w:numPr>
        <w:pStyle w:val="Compact"/>
      </w:pPr>
      <w:r>
        <w:t xml:space="preserve">Report any hazards or malfunctions immediately to the supervising officer.</w:t>
      </w:r>
    </w:p>
    <w:p>
      <w:pPr>
        <w:numPr>
          <w:ilvl w:val="0"/>
          <w:numId w:val="1003"/>
        </w:numPr>
        <w:pStyle w:val="Compact"/>
      </w:pPr>
      <w:r>
        <w:t xml:space="preserve">Ensure familiarity with emergency exits and assembly points within the testing facility.</w:t>
      </w:r>
    </w:p>
    <w:p>
      <w:pPr>
        <w:pStyle w:val="FirstParagraph"/>
      </w:pPr>
      <w:r>
        <w:t xml:space="preserve">In the event of an actual emergency, the experiment will be halted immediately, and standard emergency response protocols for Russia Saint Petersburg will be enacted.</w:t>
      </w:r>
    </w:p>
    <w:bookmarkEnd w:id="30"/>
    <w:bookmarkStart w:id="31" w:name="data-collection-and-analysis"/>
    <w:p>
      <w:pPr>
        <w:pStyle w:val="Heading2"/>
      </w:pPr>
      <w:r>
        <w:t xml:space="preserve">6. Data Collection and Analysis</w:t>
      </w:r>
    </w:p>
    <w:p>
      <w:pPr>
        <w:pStyle w:val="FirstParagraph"/>
      </w:pPr>
      <w:r>
        <w:t xml:space="preserve">Performance data will be collected using automated logging systems integrated into the simulators, as well as manual observation checklists completed by evaluators.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 Value</w:t>
            </w:r>
          </w:p>
        </w:tc>
      </w:tr>
      <w:tr>
        <w:tc>
          <w:tcPr/>
          <w:p>
            <w:pPr>
              <w:pStyle w:val="Compact"/>
              <w:jc w:val="left"/>
            </w:pPr>
            <w:r>
              <w:t xml:space="preserve">Response Time</w:t>
            </w:r>
          </w:p>
        </w:tc>
        <w:tc>
          <w:tcPr/>
          <w:p>
            <w:pPr>
              <w:pStyle w:val="Compact"/>
              <w:jc w:val="left"/>
            </w:pPr>
            <w:r>
              <w:t xml:space="preserve">Time taken to identify and address faults</w:t>
            </w:r>
          </w:p>
        </w:tc>
        <w:tc>
          <w:tcPr/>
          <w:p>
            <w:pPr>
              <w:pStyle w:val="Compact"/>
              <w:jc w:val="left"/>
            </w:pPr>
            <w:r>
              <w:t xml:space="preserve">&lt; 3 minutes</w:t>
            </w:r>
          </w:p>
        </w:tc>
      </w:tr>
      <w:tr>
        <w:tc>
          <w:tcPr/>
          <w:p>
            <w:pPr>
              <w:pStyle w:val="Compact"/>
              <w:jc w:val="left"/>
            </w:pPr>
            <w:r>
              <w:t xml:space="preserve">Accuracy</w:t>
            </w:r>
          </w:p>
        </w:tc>
        <w:tc>
          <w:tcPr/>
          <w:p>
            <w:pPr>
              <w:pStyle w:val="Compact"/>
              <w:jc w:val="left"/>
            </w:pPr>
            <w:r>
              <w:t xml:space="preserve">Correctness of diagnostic and repair actions</w:t>
            </w:r>
          </w:p>
        </w:tc>
        <w:tc>
          <w:tcPr/>
          <w:p>
            <w:pPr>
              <w:pStyle w:val="Compact"/>
              <w:jc w:val="left"/>
            </w:pPr>
            <w:r>
              <w:t xml:space="preserve">&gt; 90%</w:t>
            </w:r>
          </w:p>
        </w:tc>
      </w:tr>
      <w:tr>
        <w:tc>
          <w:tcPr/>
          <w:p>
            <w:pPr>
              <w:pStyle w:val="Compact"/>
              <w:jc w:val="left"/>
            </w:pPr>
            <w:r>
              <w:t xml:space="preserve">Compliance</w:t>
            </w:r>
          </w:p>
        </w:tc>
        <w:tc>
          <w:tcPr/>
          <w:p>
            <w:pPr>
              <w:pStyle w:val="Compact"/>
              <w:jc w:val="left"/>
            </w:pPr>
            <w:r>
              <w:t xml:space="preserve">Adherence to safety and regulatory procedures</w:t>
            </w:r>
          </w:p>
        </w:tc>
        <w:tc>
          <w:tcPr/>
          <w:p>
            <w:pPr>
              <w:pStyle w:val="Compact"/>
              <w:jc w:val="left"/>
            </w:pPr>
            <w:r>
              <w:t xml:space="preserve">100%</w:t>
            </w:r>
          </w:p>
        </w:tc>
      </w:tr>
    </w:tbl>
    <w:p>
      <w:pPr>
        <w:pStyle w:val="BodyText"/>
      </w:pPr>
      <w:r>
        <w:t xml:space="preserve">Results will be analyzed to determine the Marine Engineer's readiness for deployment on vessels operating in and around Russia Saint Petersburg.</w:t>
      </w:r>
    </w:p>
    <w:bookmarkEnd w:id="31"/>
    <w:bookmarkStart w:id="32" w:name="conclusion-and-reporting"/>
    <w:p>
      <w:pPr>
        <w:pStyle w:val="Heading2"/>
      </w:pPr>
      <w:r>
        <w:t xml:space="preserve">7. Conclusion and Reporting</w:t>
      </w:r>
    </w:p>
    <w:p>
      <w:pPr>
        <w:pStyle w:val="FirstParagraph"/>
      </w:pPr>
      <w:r>
        <w:t xml:space="preserve">Upon completion of the experiment, a detailed report will be generated summarizing the Marine Engineer's performance across all phases. This report will include recommendations for further training or certification, if necessary. The final document will be submitted to the relevant authorities in Russia Saint Petersburg for record-keeping and regulatory compliance.</w:t>
      </w:r>
    </w:p>
    <w:p>
      <w:pPr>
        <w:pStyle w:val="BodyText"/>
      </w:pPr>
      <w:r>
        <w:t xml:space="preserve">This Experiment Protocol serves as a critical tool for ensuring the highest standards of competence and safety among Marine Engineers operating in one of the world's most important maritime regions.</w:t>
      </w:r>
    </w:p>
    <w:bookmarkEnd w:id="32"/>
    <w:p>
      <w:pPr>
        <w:pStyle w:val="BodyText"/>
      </w:pPr>
      <w:r>
        <w:rPr>
          <w:bCs/>
          <w:b/>
        </w:rPr>
        <w:t xml:space="preserve">Prepared by:</w:t>
      </w:r>
      <w:r>
        <w:br/>
      </w:r>
      <w:r>
        <w:t xml:space="preserve">[Name]</w:t>
      </w:r>
      <w:r>
        <w:br/>
      </w:r>
      <w:r>
        <w:t xml:space="preserve">Senior Technical Officer</w:t>
      </w:r>
      <w:r>
        <w:br/>
      </w:r>
      <w:r>
        <w:t xml:space="preserve">Baltic Shipyard Technical Testing Center</w:t>
      </w:r>
    </w:p>
    <w:p>
      <w:pPr>
        <w:pStyle w:val="BodyText"/>
      </w:pPr>
      <w:r>
        <w:rPr>
          <w:bCs/>
          <w:b/>
        </w:rPr>
        <w:t xml:space="preserve">Approved by:</w:t>
      </w:r>
      <w:r>
        <w:br/>
      </w:r>
      <w:r>
        <w:t xml:space="preserve">[Name]</w:t>
      </w:r>
      <w:r>
        <w:br/>
      </w:r>
      <w:r>
        <w:t xml:space="preserve">Director of Operations</w:t>
      </w:r>
      <w:r>
        <w:br/>
      </w:r>
      <w:r>
        <w:t xml:space="preserve">Russia Saint Petersburg Maritime Authority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Russia Saint Petersburg</dc:title>
  <dc:creator/>
  <dc:language>en</dc:language>
  <cp:keywords/>
  <dcterms:created xsi:type="dcterms:W3CDTF">2026-10-10T09:53:24Z</dcterms:created>
  <dcterms:modified xsi:type="dcterms:W3CDTF">2026-10-10T09:53:24Z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