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Competency</w:t>
      </w:r>
      <w:r>
        <w:t xml:space="preserve"> </w:t>
      </w:r>
      <w:r>
        <w:t xml:space="preserve">Assessment</w:t>
      </w:r>
      <w:r>
        <w:t xml:space="preserve"> </w:t>
      </w:r>
      <w:r>
        <w:t xml:space="preserve">in</w:t>
      </w:r>
      <w:r>
        <w:t xml:space="preserve"> </w:t>
      </w:r>
      <w:r>
        <w:t xml:space="preserve">Turkey</w:t>
      </w:r>
      <w:r>
        <w:t xml:space="preserve"> </w:t>
      </w:r>
      <w:r>
        <w:t xml:space="preserve">Ankara</w:t>
      </w:r>
    </w:p>
    <w:bookmarkStart w:id="20" w:name="X9d69a139e2ca85d393076c610330794770d7776"/>
    <w:p>
      <w:pPr>
        <w:pStyle w:val="Heading1"/>
      </w:pPr>
      <w:r>
        <w:t xml:space="preserve">Experiment Protocol: Marine Engineer Competency Assessment</w:t>
      </w:r>
    </w:p>
    <w:p>
      <w:pPr>
        <w:pStyle w:val="FirstParagraph"/>
      </w:pPr>
      <w:r>
        <w:rPr>
          <w:bCs/>
          <w:b/>
        </w:rPr>
        <w:t xml:space="preserve">Location:</w:t>
      </w:r>
      <w:r>
        <w:t xml:space="preserve"> </w:t>
      </w:r>
      <w:r>
        <w:t xml:space="preserve">Turkey Ankara, Central Technical Evaluation Facility</w:t>
      </w:r>
    </w:p>
    <w:p>
      <w:pPr>
        <w:pStyle w:val="BodyText"/>
      </w:pPr>
      <w:r>
        <w:rPr>
          <w:bCs/>
          <w:b/>
        </w:rPr>
        <w:t xml:space="preserve">Document ID:</w:t>
      </w:r>
      <w:r>
        <w:t xml:space="preserve"> </w:t>
      </w:r>
      <w:r>
        <w:t xml:space="preserve">ME-ANK-2024-EXP-001</w:t>
      </w:r>
    </w:p>
    <w:p>
      <w:pPr>
        <w:pStyle w:val="BodyText"/>
      </w:pPr>
      <w:r>
        <w:rPr>
          <w:bCs/>
          <w:b/>
        </w:rPr>
        <w:t xml:space="preserve">Date:</w:t>
      </w:r>
      <w:r>
        <w:t xml:space="preserve"> </w:t>
      </w:r>
      <w:r>
        <w:t xml:space="preserve">October 24, 2024</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evaluating the technical competencies of Marine Engineers within the jurisdiction of Turkey Ankara. Given Ankara's strategic role as the administrative and regulatory hub of Turkey, this protocol is designed to align with the Turkish Maritime Administration (TMD) standards and international maritime conventions.</w:t>
      </w:r>
    </w:p>
    <w:p>
      <w:pPr>
        <w:pStyle w:val="BodyText"/>
      </w:pPr>
      <w:r>
        <w:t xml:space="preserve">The primary objective of this experiment is to assess the practical and theoretical capabilities of Marine Engineers in maintaining, troubleshooting, and optimizing marine propulsion systems and auxiliary machinery. The assessment will simulate real-world scenarios relevant to vessels operating in Turkish waters and international routes.</w:t>
      </w:r>
    </w:p>
    <w:bookmarkEnd w:id="21"/>
    <w:bookmarkStart w:id="22" w:name="scope-and-applicability"/>
    <w:p>
      <w:pPr>
        <w:pStyle w:val="Heading2"/>
      </w:pPr>
      <w:r>
        <w:t xml:space="preserve">2. Scope and Applicability</w:t>
      </w:r>
    </w:p>
    <w:p>
      <w:pPr>
        <w:pStyle w:val="FirstParagraph"/>
      </w:pPr>
      <w:r>
        <w:t xml:space="preserve">This protocol applies to all Marine Engineers participating in the competency evaluation program hosted in Turkey Ankara. It covers:</w:t>
      </w:r>
    </w:p>
    <w:p>
      <w:pPr>
        <w:numPr>
          <w:ilvl w:val="0"/>
          <w:numId w:val="1001"/>
        </w:numPr>
        <w:pStyle w:val="Compact"/>
      </w:pPr>
      <w:r>
        <w:t xml:space="preserve">Assessment of knowledge related to marine diesel engines, electrical systems, and safety protocols.</w:t>
      </w:r>
    </w:p>
    <w:p>
      <w:pPr>
        <w:numPr>
          <w:ilvl w:val="0"/>
          <w:numId w:val="1001"/>
        </w:numPr>
        <w:pStyle w:val="Compact"/>
      </w:pPr>
      <w:r>
        <w:t xml:space="preserve">Evaluation of problem-solving skills under simulated emergency conditions.</w:t>
      </w:r>
    </w:p>
    <w:p>
      <w:pPr>
        <w:numPr>
          <w:ilvl w:val="0"/>
          <w:numId w:val="1001"/>
        </w:numPr>
        <w:pStyle w:val="Compact"/>
      </w:pPr>
      <w:r>
        <w:t xml:space="preserve">Verification of compliance with environmental regulations enforced by Turkish authorities.</w:t>
      </w:r>
    </w:p>
    <w:p>
      <w:pPr>
        <w:pStyle w:val="FirstParagraph"/>
      </w:pPr>
      <w:r>
        <w:t xml:space="preserve">The experiment is conducted at the designated technical facility in Ankara, equipped with state-of-the-art simulators and machinery replicas.</w:t>
      </w:r>
    </w:p>
    <w:bookmarkEnd w:id="22"/>
    <w:bookmarkStart w:id="23" w:name="participants-and-roles"/>
    <w:p>
      <w:pPr>
        <w:pStyle w:val="Heading2"/>
      </w:pPr>
      <w:r>
        <w:t xml:space="preserve">3. Participants and Roles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Marine Engineer (Candidate)</w:t>
            </w:r>
          </w:p>
        </w:tc>
        <w:tc>
          <w:tcPr/>
          <w:p>
            <w:pPr>
              <w:pStyle w:val="Compact"/>
              <w:jc w:val="left"/>
            </w:pPr>
            <w:r>
              <w:t xml:space="preserve">Undergoes the competency assessment as per the protocol.</w:t>
            </w:r>
          </w:p>
        </w:tc>
      </w:tr>
      <w:tr>
        <w:tc>
          <w:tcPr/>
          <w:p>
            <w:pPr>
              <w:pStyle w:val="Compact"/>
              <w:jc w:val="left"/>
            </w:pPr>
            <w:r>
              <w:t xml:space="preserve">Chief Examiner</w:t>
            </w:r>
          </w:p>
        </w:tc>
        <w:tc>
          <w:tcPr/>
          <w:p>
            <w:pPr>
              <w:pStyle w:val="Compact"/>
              <w:jc w:val="left"/>
            </w:pPr>
            <w:r>
              <w:t xml:space="preserve">Oversees the experiment, ensures adherence to the protocol, and evaluates performance.</w:t>
            </w:r>
          </w:p>
        </w:tc>
      </w:tr>
      <w:tr>
        <w:tc>
          <w:tcPr/>
          <w:p>
            <w:pPr>
              <w:pStyle w:val="Compact"/>
              <w:jc w:val="left"/>
            </w:pPr>
            <w:r>
              <w:t xml:space="preserve">Technical Support Staff</w:t>
            </w:r>
          </w:p>
        </w:tc>
        <w:tc>
          <w:tcPr/>
          <w:p>
            <w:pPr>
              <w:pStyle w:val="Compact"/>
              <w:jc w:val="left"/>
            </w:pPr>
            <w:r>
              <w:t xml:space="preserve">Assists with equipment setup, safety checks, and data recording.</w:t>
            </w:r>
          </w:p>
        </w:tc>
      </w:tr>
      <w:tr>
        <w:tc>
          <w:tcPr/>
          <w:p>
            <w:pPr>
              <w:pStyle w:val="Compact"/>
              <w:jc w:val="left"/>
            </w:pPr>
            <w:r>
              <w:t xml:space="preserve">Observer (TMD Representative)</w:t>
            </w:r>
          </w:p>
        </w:tc>
        <w:tc>
          <w:tcPr/>
          <w:p>
            <w:pPr>
              <w:pStyle w:val="Compact"/>
              <w:jc w:val="left"/>
            </w:pPr>
            <w:r>
              <w:t xml:space="preserve">Monitors the process to ensure compliance with Turkish maritime regulations.</w:t>
            </w:r>
          </w:p>
        </w:tc>
      </w:tr>
    </w:tbl>
    <w:bookmarkEnd w:id="23"/>
    <w:bookmarkStart w:id="24" w:name="equipment-and-materials"/>
    <w:p>
      <w:pPr>
        <w:pStyle w:val="Heading2"/>
      </w:pPr>
      <w:r>
        <w:t xml:space="preserve">4. Equipment and Materials</w:t>
      </w:r>
    </w:p>
    <w:p>
      <w:pPr>
        <w:pStyle w:val="FirstParagraph"/>
      </w:pPr>
      <w:r>
        <w:t xml:space="preserve">The following equipment and materials are required for the experiment:</w:t>
      </w:r>
    </w:p>
    <w:p>
      <w:pPr>
        <w:numPr>
          <w:ilvl w:val="0"/>
          <w:numId w:val="1002"/>
        </w:numPr>
        <w:pStyle w:val="Compact"/>
      </w:pPr>
      <w:r>
        <w:t xml:space="preserve">Marine engine simulator (replicating MAN B&amp;W and Wärtsilä models).</w:t>
      </w:r>
    </w:p>
    <w:p>
      <w:pPr>
        <w:numPr>
          <w:ilvl w:val="0"/>
          <w:numId w:val="1002"/>
        </w:numPr>
        <w:pStyle w:val="Compact"/>
      </w:pPr>
      <w:r>
        <w:t xml:space="preserve">Electrical system training panel.</w:t>
      </w:r>
    </w:p>
    <w:p>
      <w:pPr>
        <w:numPr>
          <w:ilvl w:val="0"/>
          <w:numId w:val="1002"/>
        </w:numPr>
        <w:pStyle w:val="Compact"/>
      </w:pPr>
      <w:r>
        <w:t xml:space="preserve">Firefighting and emergency response simulation tools.</w:t>
      </w:r>
    </w:p>
    <w:p>
      <w:pPr>
        <w:numPr>
          <w:ilvl w:val="0"/>
          <w:numId w:val="1002"/>
        </w:numPr>
        <w:pStyle w:val="Compact"/>
      </w:pPr>
      <w:r>
        <w:t xml:space="preserve">Diagnostic software and handheld testing devices.</w:t>
      </w:r>
    </w:p>
    <w:p>
      <w:pPr>
        <w:numPr>
          <w:ilvl w:val="0"/>
          <w:numId w:val="1002"/>
        </w:numPr>
        <w:pStyle w:val="Compact"/>
      </w:pPr>
      <w:r>
        <w:t xml:space="preserve">Personal protective equipment (PPE) for all participants.</w:t>
      </w:r>
    </w:p>
    <w:p>
      <w:pPr>
        <w:numPr>
          <w:ilvl w:val="0"/>
          <w:numId w:val="1002"/>
        </w:numPr>
        <w:pStyle w:val="Compact"/>
      </w:pPr>
      <w:r>
        <w:t xml:space="preserve">Documentation kits for recording observations and results.</w:t>
      </w:r>
    </w:p>
    <w:p>
      <w:pPr>
        <w:pStyle w:val="FirstParagraph"/>
      </w:pPr>
      <w:r>
        <w:t xml:space="preserve">All equipment must be calibrated and inspected prior to the start of the experiment to ensure accuracy and safety.</w:t>
      </w:r>
    </w:p>
    <w:bookmarkEnd w:id="24"/>
    <w:bookmarkStart w:id="29" w:name="procedure"/>
    <w:p>
      <w:pPr>
        <w:pStyle w:val="Heading2"/>
      </w:pPr>
      <w:r>
        <w:t xml:space="preserve">5. Procedure</w:t>
      </w:r>
    </w:p>
    <w:bookmarkStart w:id="25" w:name="pre-experiment-preparation"/>
    <w:p>
      <w:pPr>
        <w:pStyle w:val="Heading3"/>
      </w:pPr>
      <w:r>
        <w:t xml:space="preserve">5.1 Pre-Experiment Preparation</w:t>
      </w:r>
    </w:p>
    <w:p>
      <w:pPr>
        <w:pStyle w:val="FirstParagraph"/>
      </w:pPr>
      <w:r>
        <w:t xml:space="preserve">On the day of the experiment, all participants must report to the facility in Turkey Ankara at least 30 minutes before the scheduled start time. The Chief Examiner will conduct a briefing to explain the objectives, procedures, and safety guidelines. Candidates will be provided with PPE and assigned to their respective stations.</w:t>
      </w:r>
    </w:p>
    <w:bookmarkEnd w:id="25"/>
    <w:bookmarkStart w:id="26" w:name="theoretical-assessment"/>
    <w:p>
      <w:pPr>
        <w:pStyle w:val="Heading3"/>
      </w:pPr>
      <w:r>
        <w:t xml:space="preserve">5.2 Theoretical Assessment</w:t>
      </w:r>
    </w:p>
    <w:p>
      <w:pPr>
        <w:pStyle w:val="FirstParagraph"/>
      </w:pPr>
      <w:r>
        <w:t xml:space="preserve">The first phase involves a written examination testing the Marine Engineer's knowledge of:</w:t>
      </w:r>
    </w:p>
    <w:p>
      <w:pPr>
        <w:numPr>
          <w:ilvl w:val="0"/>
          <w:numId w:val="1003"/>
        </w:numPr>
        <w:pStyle w:val="Compact"/>
      </w:pPr>
      <w:r>
        <w:t xml:space="preserve">Marine propulsion systems and thermodynamics.</w:t>
      </w:r>
    </w:p>
    <w:p>
      <w:pPr>
        <w:numPr>
          <w:ilvl w:val="0"/>
          <w:numId w:val="1003"/>
        </w:numPr>
        <w:pStyle w:val="Compact"/>
      </w:pPr>
      <w:r>
        <w:t xml:space="preserve">Electrical power generation and distribution.</w:t>
      </w:r>
    </w:p>
    <w:p>
      <w:pPr>
        <w:numPr>
          <w:ilvl w:val="0"/>
          <w:numId w:val="1003"/>
        </w:numPr>
        <w:pStyle w:val="Compact"/>
      </w:pPr>
      <w:r>
        <w:t xml:space="preserve">Regulatory frameworks, including Turkish maritime laws and international conventions (e.g., SOLAS, MARPOL).</w:t>
      </w:r>
    </w:p>
    <w:bookmarkEnd w:id="26"/>
    <w:bookmarkStart w:id="27" w:name="practical-assessment"/>
    <w:p>
      <w:pPr>
        <w:pStyle w:val="Heading3"/>
      </w:pPr>
      <w:r>
        <w:t xml:space="preserve">5.3 Practical Assessment</w:t>
      </w:r>
    </w:p>
    <w:p>
      <w:pPr>
        <w:pStyle w:val="FirstParagraph"/>
      </w:pPr>
      <w:r>
        <w:t xml:space="preserve">The second phase consists of hands-on tasks performed on the simulators and training panels. Candidates will be required to:</w:t>
      </w:r>
    </w:p>
    <w:p>
      <w:pPr>
        <w:numPr>
          <w:ilvl w:val="0"/>
          <w:numId w:val="1004"/>
        </w:numPr>
        <w:pStyle w:val="Compact"/>
      </w:pPr>
      <w:r>
        <w:t xml:space="preserve">Diagnose and resolve faults in a simulated marine diesel engine.</w:t>
      </w:r>
    </w:p>
    <w:p>
      <w:pPr>
        <w:numPr>
          <w:ilvl w:val="0"/>
          <w:numId w:val="1004"/>
        </w:numPr>
        <w:pStyle w:val="Compact"/>
      </w:pPr>
      <w:r>
        <w:t xml:space="preserve">Perform routine maintenance checks on auxiliary machinery.</w:t>
      </w:r>
    </w:p>
    <w:p>
      <w:pPr>
        <w:numPr>
          <w:ilvl w:val="0"/>
          <w:numId w:val="1004"/>
        </w:numPr>
        <w:pStyle w:val="Compact"/>
      </w:pPr>
      <w:r>
        <w:t xml:space="preserve">Respond to an emergency scenario, such as a fire or power failure, following established protocols.</w:t>
      </w:r>
    </w:p>
    <w:bookmarkEnd w:id="27"/>
    <w:bookmarkStart w:id="28" w:name="post-experiment-evaluation"/>
    <w:p>
      <w:pPr>
        <w:pStyle w:val="Heading3"/>
      </w:pPr>
      <w:r>
        <w:t xml:space="preserve">5.4 Post-Experiment Evaluation</w:t>
      </w:r>
    </w:p>
    <w:p>
      <w:pPr>
        <w:pStyle w:val="FirstParagraph"/>
      </w:pPr>
      <w:r>
        <w:t xml:space="preserve">After completing the tasks, the Chief Examiner and TMD Observer will review the candidate's performance. Scores will be calculated based on predefined criteria, including accuracy, efficiency, and adherence to safety standards.</w:t>
      </w:r>
    </w:p>
    <w:bookmarkEnd w:id="28"/>
    <w:bookmarkEnd w:id="29"/>
    <w:bookmarkStart w:id="30" w:name="safety-considerations"/>
    <w:p>
      <w:pPr>
        <w:pStyle w:val="Heading2"/>
      </w:pPr>
      <w:r>
        <w:t xml:space="preserve">6. Safety Considerations</w:t>
      </w:r>
    </w:p>
    <w:p>
      <w:pPr>
        <w:pStyle w:val="FirstParagraph"/>
      </w:pPr>
      <w:r>
        <w:t xml:space="preserve">Safety is paramount during this experiment. All participants must:</w:t>
      </w:r>
    </w:p>
    <w:p>
      <w:pPr>
        <w:numPr>
          <w:ilvl w:val="0"/>
          <w:numId w:val="1005"/>
        </w:numPr>
        <w:pStyle w:val="Compact"/>
      </w:pPr>
      <w:r>
        <w:t xml:space="preserve">Wear appropriate PPE at all times.</w:t>
      </w:r>
    </w:p>
    <w:p>
      <w:pPr>
        <w:numPr>
          <w:ilvl w:val="0"/>
          <w:numId w:val="1005"/>
        </w:numPr>
        <w:pStyle w:val="Compact"/>
      </w:pPr>
      <w:r>
        <w:t xml:space="preserve">Follow instructions from the Chief Examiner and Technical Support Staff.</w:t>
      </w:r>
    </w:p>
    <w:p>
      <w:pPr>
        <w:numPr>
          <w:ilvl w:val="0"/>
          <w:numId w:val="1005"/>
        </w:numPr>
        <w:pStyle w:val="Compact"/>
      </w:pPr>
      <w:r>
        <w:t xml:space="preserve">Report any hazards or malfunctions immediately.</w:t>
      </w:r>
    </w:p>
    <w:p>
      <w:pPr>
        <w:pStyle w:val="FirstParagraph"/>
      </w:pPr>
      <w:r>
        <w:t xml:space="preserve">In the event of an emergency, the facility's evacuation plan will be activated, and first aid services will be provided as needed.</w:t>
      </w:r>
    </w:p>
    <w:bookmarkEnd w:id="30"/>
    <w:bookmarkStart w:id="31" w:name="data-collection-and-reporting"/>
    <w:p>
      <w:pPr>
        <w:pStyle w:val="Heading2"/>
      </w:pPr>
      <w:r>
        <w:t xml:space="preserve">7. Data Collection and Reporting</w:t>
      </w:r>
    </w:p>
    <w:p>
      <w:pPr>
        <w:pStyle w:val="FirstParagraph"/>
      </w:pPr>
      <w:r>
        <w:t xml:space="preserve">All data collected during the experiment, including test scores, observation notes, and equipment logs, will be securely stored and analyzed. A detailed report will be generated for each Marine Engineer, highlighting strengths, areas for improvement, and overall competency level. This report will be submitted to the relevant authorities in Turkey Ankara for certification purposes.</w:t>
      </w:r>
    </w:p>
    <w:bookmarkEnd w:id="31"/>
    <w:bookmarkStart w:id="32" w:name="conclusion"/>
    <w:p>
      <w:pPr>
        <w:pStyle w:val="Heading2"/>
      </w:pPr>
      <w:r>
        <w:t xml:space="preserve">8. Conclusion</w:t>
      </w:r>
    </w:p>
    <w:p>
      <w:pPr>
        <w:pStyle w:val="FirstParagraph"/>
      </w:pPr>
      <w:r>
        <w:t xml:space="preserve">This Experiment Protocol ensures a rigorous and standardized evaluation of Marine Engineers in Turkey Ankara. By adhering to these procedures, we aim to uphold the highest standards of maritime safety, efficiency, and regulatory compliance.</w:t>
      </w:r>
    </w:p>
    <w:bookmarkEnd w:id="32"/>
    <w:p>
      <w:pPr>
        <w:pStyle w:val="BodyText"/>
      </w:pPr>
      <w:r>
        <w:rPr>
          <w:bCs/>
          <w:b/>
        </w:rPr>
        <w:t xml:space="preserve">Chief Examiner Signature:</w:t>
      </w:r>
    </w:p>
    <w:p>
      <w:pPr>
        <w:pStyle w:val="BodyText"/>
      </w:pPr>
      <w:r>
        <w:t xml:space="preserve">Name: ________________________</w:t>
      </w:r>
    </w:p>
    <w:p>
      <w:pPr>
        <w:pStyle w:val="BodyText"/>
      </w:pPr>
      <w:r>
        <w:t xml:space="preserve">Date: ________________________</w:t>
      </w:r>
    </w:p>
    <w:p>
      <w:pPr>
        <w:pStyle w:val="BodyText"/>
      </w:pPr>
      <w:r>
        <w:rPr>
          <w:bCs/>
          <w:b/>
        </w:rPr>
        <w:t xml:space="preserve">TMD Observer Signature:</w:t>
      </w:r>
    </w:p>
    <w:p>
      <w:pPr>
        <w:pStyle w:val="BodyText"/>
      </w:pPr>
      <w:r>
        <w:t xml:space="preserve">Name: ________________________</w:t>
      </w:r>
    </w:p>
    <w:p>
      <w:pPr>
        <w:pStyle w:val="BodyText"/>
      </w:pPr>
      <w:r>
        <w:t xml:space="preserve">Date: 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Competency Assessment in Turkey Ankara</dc:title>
  <dc:creator/>
  <dc:language>en</dc:language>
  <cp:keywords/>
  <dcterms:created xsi:type="dcterms:W3CDTF">2026-10-10T00:32:09Z</dcterms:created>
  <dcterms:modified xsi:type="dcterms:W3CDTF">2026-10-10T00:32:09Z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