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Competency</w:t>
      </w:r>
      <w:r>
        <w:t xml:space="preserve"> </w:t>
      </w:r>
      <w:r>
        <w:t xml:space="preserve">Assessment</w:t>
      </w:r>
    </w:p>
    <w:bookmarkStart w:id="31" w:name="X9d69a139e2ca85d393076c610330794770d7776"/>
    <w:p>
      <w:pPr>
        <w:pStyle w:val="Heading1"/>
      </w:pPr>
      <w:r>
        <w:t xml:space="preserve">Experiment Protocol: Marine Engineer Competency Assessment</w:t>
      </w:r>
    </w:p>
    <w:p>
      <w:pPr>
        <w:pStyle w:val="FirstParagraph"/>
      </w:pPr>
      <w:r>
        <w:rPr>
          <w:bCs/>
          <w:b/>
        </w:rPr>
        <w:t xml:space="preserve">Protocol ID:</w:t>
      </w:r>
      <w:r>
        <w:t xml:space="preserve"> </w:t>
      </w:r>
      <w:r>
        <w:t xml:space="preserve">ME-TASH-2023-001</w:t>
      </w:r>
      <w:r>
        <w:br/>
      </w:r>
      <w:r>
        <w:rPr>
          <w:bCs/>
          <w:b/>
        </w:rPr>
        <w:t xml:space="preserve">Location:</w:t>
      </w:r>
      <w:r>
        <w:t xml:space="preserve"> </w:t>
      </w:r>
      <w:r>
        <w:t xml:space="preserve">Tashkent, Uzbekistan</w:t>
      </w:r>
      <w:r>
        <w:br/>
      </w:r>
      <w:r>
        <w:rPr>
          <w:bCs/>
          <w:b/>
        </w:rPr>
        <w:t xml:space="preserve">Date:</w:t>
      </w:r>
      <w:r>
        <w:t xml:space="preserve"> </w:t>
      </w:r>
      <w:r>
        <w:t xml:space="preserve">October 24, 2023</w:t>
      </w:r>
    </w:p>
    <w:p>
      <w:pPr>
        <w:pStyle w:val="BodyText"/>
      </w:pPr>
      <w:r>
        <w:rPr>
          <w:bCs/>
          <w:b/>
        </w:rPr>
        <w:t xml:space="preserve">Subject:</w:t>
      </w:r>
      <w:r>
        <w:t xml:space="preserve"> </w:t>
      </w:r>
      <w:r>
        <w:t xml:space="preserve">Marine Engineer</w:t>
      </w:r>
      <w:r>
        <w:br/>
      </w:r>
      <w:r>
        <w:rPr>
          <w:bCs/>
          <w:b/>
        </w:rPr>
        <w:t xml:space="preserve">Facility:</w:t>
      </w:r>
      <w:r>
        <w:t xml:space="preserve"> </w:t>
      </w:r>
      <w:r>
        <w:t xml:space="preserve">Tashkent Maritime Simulation Center</w:t>
      </w:r>
      <w:r>
        <w:br/>
      </w:r>
      <w:r>
        <w:rPr>
          <w:bCs/>
          <w:b/>
        </w:rPr>
        <w:t xml:space="preserve">Supervisor:</w:t>
      </w:r>
      <w:r>
        <w:t xml:space="preserve"> </w:t>
      </w:r>
      <w:r>
        <w:t xml:space="preserve">Chief Examiner A. Karimov</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assessing the technical competency, emergency response capabilities, and regulatory knowledge of a Marine Engineer candidate. This assessment is conducted within the jurisdiction of Uzbekistan, specifically at the training facilities in Tashkent. The primary objective is to verify that the Marine Engineer possesses the requisite skills to operate, maintain, and troubleshoot marine propulsion systems and auxiliary machinery in accordance with international maritime standards and local Uzbek regulations.</w:t>
      </w:r>
    </w:p>
    <w:p>
      <w:pPr>
        <w:pStyle w:val="BodyText"/>
      </w:pPr>
      <w:r>
        <w:t xml:space="preserve">As Uzbekistan continues to develop its inland waterway infrastructure along the Amu Darya and Syr Darya rivers, as well as its growing interest in Caspian Sea logistics, the demand for highly qualified Marine Engineers in Tashkent is increasing. This protocol ensures that candidates meet the rigorous safety and operational standards required for modern maritime operations.</w:t>
      </w:r>
    </w:p>
    <w:bookmarkEnd w:id="20"/>
    <w:bookmarkStart w:id="21" w:name="scope-and-applicability"/>
    <w:p>
      <w:pPr>
        <w:pStyle w:val="Heading2"/>
      </w:pPr>
      <w:r>
        <w:t xml:space="preserve">2. Scope and Applicability</w:t>
      </w:r>
    </w:p>
    <w:p>
      <w:pPr>
        <w:pStyle w:val="FirstParagraph"/>
      </w:pPr>
      <w:r>
        <w:t xml:space="preserve">This protocol applies to all Marine Engineer candidates undergoing certification or recertification at the Tashkent Maritime Simulation Center. The experiment covers three main domains:</w:t>
      </w:r>
    </w:p>
    <w:p>
      <w:pPr>
        <w:numPr>
          <w:ilvl w:val="0"/>
          <w:numId w:val="1001"/>
        </w:numPr>
        <w:pStyle w:val="Compact"/>
      </w:pPr>
      <w:r>
        <w:rPr>
          <w:bCs/>
          <w:b/>
        </w:rPr>
        <w:t xml:space="preserve">Mechanical Systems Operation:</w:t>
      </w:r>
      <w:r>
        <w:t xml:space="preserve"> </w:t>
      </w:r>
      <w:r>
        <w:t xml:space="preserve">Proficiency in handling diesel engines, boilers, and electrical generators.</w:t>
      </w:r>
    </w:p>
    <w:p>
      <w:pPr>
        <w:numPr>
          <w:ilvl w:val="0"/>
          <w:numId w:val="1001"/>
        </w:numPr>
        <w:pStyle w:val="Compact"/>
      </w:pPr>
      <w:r>
        <w:rPr>
          <w:bCs/>
          <w:b/>
        </w:rPr>
        <w:t xml:space="preserve">Emergency Response:</w:t>
      </w:r>
      <w:r>
        <w:t xml:space="preserve"> </w:t>
      </w:r>
      <w:r>
        <w:t xml:space="preserve">Ability to manage engine room emergencies such as fires, flooding, and power failures.</w:t>
      </w:r>
    </w:p>
    <w:p>
      <w:pPr>
        <w:numPr>
          <w:ilvl w:val="0"/>
          <w:numId w:val="1001"/>
        </w:numPr>
        <w:pStyle w:val="Compact"/>
      </w:pPr>
      <w:r>
        <w:rPr>
          <w:bCs/>
          <w:b/>
        </w:rPr>
        <w:t xml:space="preserve">Regulatory Compliance:</w:t>
      </w:r>
      <w:r>
        <w:t xml:space="preserve"> </w:t>
      </w:r>
      <w:r>
        <w:t xml:space="preserve">Knowledge of the International Convention for the Safety of Life at Sea (SOLAS) and specific maritime laws of Uzbekistan.</w:t>
      </w:r>
    </w:p>
    <w:bookmarkEnd w:id="21"/>
    <w:bookmarkStart w:id="22" w:name="equipment-and-environment"/>
    <w:p>
      <w:pPr>
        <w:pStyle w:val="Heading2"/>
      </w:pPr>
      <w:r>
        <w:t xml:space="preserve">3. Equipment and Environment</w:t>
      </w:r>
    </w:p>
    <w:p>
      <w:pPr>
        <w:pStyle w:val="FirstParagraph"/>
      </w:pPr>
      <w:r>
        <w:t xml:space="preserve">The experiment will be conducted using a high-fidelity engine room simulator located in Tashkent. The simulator replicates the environment of a modern cargo vessel, including:</w:t>
      </w:r>
    </w:p>
    <w:p>
      <w:pPr>
        <w:numPr>
          <w:ilvl w:val="0"/>
          <w:numId w:val="1002"/>
        </w:numPr>
        <w:pStyle w:val="Compact"/>
      </w:pPr>
      <w:r>
        <w:t xml:space="preserve">Main propulsion diesel engine control panel.</w:t>
      </w:r>
    </w:p>
    <w:p>
      <w:pPr>
        <w:numPr>
          <w:ilvl w:val="0"/>
          <w:numId w:val="1002"/>
        </w:numPr>
        <w:pStyle w:val="Compact"/>
      </w:pPr>
      <w:r>
        <w:t xml:space="preserve">Auxiliary boiler and steam distribution systems.</w:t>
      </w:r>
    </w:p>
    <w:p>
      <w:pPr>
        <w:numPr>
          <w:ilvl w:val="0"/>
          <w:numId w:val="1002"/>
        </w:numPr>
        <w:pStyle w:val="Compact"/>
      </w:pPr>
      <w:r>
        <w:t xml:space="preserve">Electrical power generation and distribution boards.</w:t>
      </w:r>
    </w:p>
    <w:p>
      <w:pPr>
        <w:numPr>
          <w:ilvl w:val="0"/>
          <w:numId w:val="1002"/>
        </w:numPr>
        <w:pStyle w:val="Compact"/>
      </w:pPr>
      <w:r>
        <w:t xml:space="preserve">Fire detection and suppression systems.</w:t>
      </w:r>
    </w:p>
    <w:p>
      <w:pPr>
        <w:numPr>
          <w:ilvl w:val="0"/>
          <w:numId w:val="1002"/>
        </w:numPr>
        <w:pStyle w:val="Compact"/>
      </w:pPr>
      <w:r>
        <w:t xml:space="preserve">Bilge and ballast water management systems.</w:t>
      </w:r>
    </w:p>
    <w:p>
      <w:pPr>
        <w:pStyle w:val="FirstParagraph"/>
      </w:pPr>
      <w:r>
        <w:t xml:space="preserve">All equipment must be calibrated and verified prior to the start of the experiment. The ambient temperature in the simulation room should be maintained at 22°C ± 2°C to ensure comfort and focus for the Marine Engineer candidate.</w:t>
      </w:r>
    </w:p>
    <w:bookmarkEnd w:id="22"/>
    <w:bookmarkStart w:id="27" w:name="procedure"/>
    <w:p>
      <w:pPr>
        <w:pStyle w:val="Heading2"/>
      </w:pPr>
      <w:r>
        <w:t xml:space="preserve">4. Procedure</w:t>
      </w:r>
    </w:p>
    <w:bookmarkStart w:id="23" w:name="pre-experiment-briefing"/>
    <w:p>
      <w:pPr>
        <w:pStyle w:val="Heading3"/>
      </w:pPr>
      <w:r>
        <w:t xml:space="preserve">4.1 Pre-Experiment Briefing</w:t>
      </w:r>
    </w:p>
    <w:p>
      <w:pPr>
        <w:pStyle w:val="FirstParagraph"/>
      </w:pPr>
      <w:r>
        <w:t xml:space="preserve">The Marine Engineer candidate will be briefed on the objectives of the experiment, safety protocols, and the specific scenarios to be simulated. The candidate will be informed that the assessment is taking place under the supervision of the Tashkent Maritime Authority.</w:t>
      </w:r>
    </w:p>
    <w:bookmarkEnd w:id="23"/>
    <w:bookmarkStart w:id="24" w:name="scenario-1-normal-operations"/>
    <w:p>
      <w:pPr>
        <w:pStyle w:val="Heading3"/>
      </w:pPr>
      <w:r>
        <w:t xml:space="preserve">4.2 Scenario 1: Normal Operations</w:t>
      </w:r>
    </w:p>
    <w:p>
      <w:pPr>
        <w:pStyle w:val="FirstParagraph"/>
      </w:pPr>
      <w:r>
        <w:t xml:space="preserve">The candidate will be required to start up the main engine and auxiliary systems from a cold state. This includes checking oil levels, pressure readings, and temperature gauges. The candidate must demonstrate proper communication with the bridge team via the simulator's intercom system.</w:t>
      </w:r>
    </w:p>
    <w:bookmarkEnd w:id="24"/>
    <w:bookmarkStart w:id="25" w:name="scenario-2-emergency-response"/>
    <w:p>
      <w:pPr>
        <w:pStyle w:val="Heading3"/>
      </w:pPr>
      <w:r>
        <w:t xml:space="preserve">4.3 Scenario 2: Emergency Response</w:t>
      </w:r>
    </w:p>
    <w:p>
      <w:pPr>
        <w:pStyle w:val="FirstParagraph"/>
      </w:pPr>
      <w:r>
        <w:t xml:space="preserve">A simulated fire in the engine room will be initiated. The Marine Engineer must identify the source of the fire, activate the fire suppression system, and isolate the affected area. The candidate's response time and adherence to safety protocols will be recorded.</w:t>
      </w:r>
    </w:p>
    <w:bookmarkEnd w:id="25"/>
    <w:bookmarkStart w:id="26" w:name="scenario-3-troubleshooting"/>
    <w:p>
      <w:pPr>
        <w:pStyle w:val="Heading3"/>
      </w:pPr>
      <w:r>
        <w:t xml:space="preserve">4.4 Scenario 3: Troubleshooting</w:t>
      </w:r>
    </w:p>
    <w:p>
      <w:pPr>
        <w:pStyle w:val="FirstParagraph"/>
      </w:pPr>
      <w:r>
        <w:t xml:space="preserve">A fault will be introduced in the electrical power generation system. The candidate must diagnose the issue, perform necessary repairs, and restore power to the vessel's systems. This scenario tests the candidate's technical knowledge and problem-solving skills.</w:t>
      </w:r>
    </w:p>
    <w:bookmarkEnd w:id="26"/>
    <w:bookmarkEnd w:id="27"/>
    <w:bookmarkStart w:id="28" w:name="data-collection-and-evaluation"/>
    <w:p>
      <w:pPr>
        <w:pStyle w:val="Heading2"/>
      </w:pPr>
      <w:r>
        <w:t xml:space="preserve">5. Data Collection and Evaluation</w:t>
      </w:r>
    </w:p>
    <w:p>
      <w:pPr>
        <w:pStyle w:val="FirstParagraph"/>
      </w:pPr>
      <w:r>
        <w:t xml:space="preserve">The performance of the Marine Engineer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Weight</w:t>
            </w:r>
          </w:p>
        </w:tc>
        <w:tc>
          <w:tcPr/>
          <w:p>
            <w:pPr>
              <w:pStyle w:val="Compact"/>
              <w:jc w:val="left"/>
            </w:pPr>
            <w:r>
              <w:t xml:space="preserve">Description</w:t>
            </w:r>
          </w:p>
        </w:tc>
      </w:tr>
      <w:tr>
        <w:tc>
          <w:tcPr/>
          <w:p>
            <w:pPr>
              <w:pStyle w:val="Compact"/>
              <w:jc w:val="left"/>
            </w:pPr>
            <w:r>
              <w:t xml:space="preserve">Technical Proficiency</w:t>
            </w:r>
          </w:p>
        </w:tc>
        <w:tc>
          <w:tcPr/>
          <w:p>
            <w:pPr>
              <w:pStyle w:val="Compact"/>
              <w:jc w:val="left"/>
            </w:pPr>
            <w:r>
              <w:t xml:space="preserve">40%</w:t>
            </w:r>
          </w:p>
        </w:tc>
        <w:tc>
          <w:tcPr/>
          <w:p>
            <w:pPr>
              <w:pStyle w:val="Compact"/>
              <w:jc w:val="left"/>
            </w:pPr>
            <w:r>
              <w:t xml:space="preserve">Accuracy in operating and troubleshooting machinery.</w:t>
            </w:r>
          </w:p>
        </w:tc>
      </w:tr>
      <w:tr>
        <w:tc>
          <w:tcPr/>
          <w:p>
            <w:pPr>
              <w:pStyle w:val="Compact"/>
              <w:jc w:val="left"/>
            </w:pPr>
            <w:r>
              <w:t xml:space="preserve">Emergency Response</w:t>
            </w:r>
          </w:p>
        </w:tc>
        <w:tc>
          <w:tcPr/>
          <w:p>
            <w:pPr>
              <w:pStyle w:val="Compact"/>
              <w:jc w:val="left"/>
            </w:pPr>
            <w:r>
              <w:t xml:space="preserve">30%</w:t>
            </w:r>
          </w:p>
        </w:tc>
        <w:tc>
          <w:tcPr/>
          <w:p>
            <w:pPr>
              <w:pStyle w:val="Compact"/>
              <w:jc w:val="left"/>
            </w:pPr>
            <w:r>
              <w:t xml:space="preserve">Speed and effectiveness in handling emergencies.</w:t>
            </w:r>
          </w:p>
        </w:tc>
      </w:tr>
      <w:tr>
        <w:tc>
          <w:tcPr/>
          <w:p>
            <w:pPr>
              <w:pStyle w:val="Compact"/>
              <w:jc w:val="left"/>
            </w:pPr>
            <w:r>
              <w:t xml:space="preserve">Regulatory Knowledge</w:t>
            </w:r>
          </w:p>
        </w:tc>
        <w:tc>
          <w:tcPr/>
          <w:p>
            <w:pPr>
              <w:pStyle w:val="Compact"/>
              <w:jc w:val="left"/>
            </w:pPr>
            <w:r>
              <w:t xml:space="preserve">20%</w:t>
            </w:r>
          </w:p>
        </w:tc>
        <w:tc>
          <w:tcPr/>
          <w:p>
            <w:pPr>
              <w:pStyle w:val="Compact"/>
              <w:jc w:val="left"/>
            </w:pPr>
            <w:r>
              <w:t xml:space="preserve">Understanding of SOLAS and Uzbek maritime laws.</w:t>
            </w:r>
          </w:p>
        </w:tc>
      </w:tr>
      <w:tr>
        <w:tc>
          <w:tcPr/>
          <w:p>
            <w:pPr>
              <w:pStyle w:val="Compact"/>
              <w:jc w:val="left"/>
            </w:pPr>
            <w:r>
              <w:t xml:space="preserve">Communication</w:t>
            </w:r>
          </w:p>
        </w:tc>
        <w:tc>
          <w:tcPr/>
          <w:p>
            <w:pPr>
              <w:pStyle w:val="Compact"/>
              <w:jc w:val="left"/>
            </w:pPr>
            <w:r>
              <w:t xml:space="preserve">10%</w:t>
            </w:r>
          </w:p>
        </w:tc>
        <w:tc>
          <w:tcPr/>
          <w:p>
            <w:pPr>
              <w:pStyle w:val="Compact"/>
              <w:jc w:val="left"/>
            </w:pPr>
            <w:r>
              <w:t xml:space="preserve">Clarity and professionalism in communication with the bridge team.</w:t>
            </w:r>
          </w:p>
        </w:tc>
      </w:tr>
    </w:tbl>
    <w:bookmarkEnd w:id="28"/>
    <w:bookmarkStart w:id="29" w:name="safety-and-ethical-considerations"/>
    <w:p>
      <w:pPr>
        <w:pStyle w:val="Heading2"/>
      </w:pPr>
      <w:r>
        <w:t xml:space="preserve">6. Safety and Ethical Considerations</w:t>
      </w:r>
    </w:p>
    <w:p>
      <w:pPr>
        <w:pStyle w:val="FirstParagraph"/>
      </w:pPr>
      <w:r>
        <w:t xml:space="preserve">Although the experiment is conducted in a simulated environment, all safety protocols must be strictly followed. The Marine Engineer candidate must wear appropriate personal protective equipment (PPE) as if they were in a real engine room. The experiment must be conducted in a manner that respects the dignity and rights of the candidate, in accordance with the ethical standards of the Tashkent Maritime Simulation Center.</w:t>
      </w:r>
    </w:p>
    <w:bookmarkEnd w:id="29"/>
    <w:bookmarkStart w:id="30" w:name="conclusion-and-reporting"/>
    <w:p>
      <w:pPr>
        <w:pStyle w:val="Heading2"/>
      </w:pPr>
      <w:r>
        <w:t xml:space="preserve">7. Conclusion and Reporting</w:t>
      </w:r>
    </w:p>
    <w:p>
      <w:pPr>
        <w:pStyle w:val="FirstParagraph"/>
      </w:pPr>
      <w:r>
        <w:t xml:space="preserve">Upon completion of the experiment, a detailed report will be generated, summarizing the performance of the Marine Engineer candidate. The report will include recommendations for further training or certification, as applicable. This report will be submitted to the relevant authorities in Uzbekistan for final approval.</w:t>
      </w:r>
    </w:p>
    <w:bookmarkEnd w:id="30"/>
    <w:p>
      <w:pPr>
        <w:pStyle w:val="BodyText"/>
      </w:pPr>
      <w:r>
        <w:rPr>
          <w:bCs/>
          <w:b/>
        </w:rPr>
        <w:t xml:space="preserve">Examiner Signature:</w:t>
      </w:r>
      <w:r>
        <w:br/>
      </w:r>
      <w:r>
        <w:t xml:space="preserve">__________________________</w:t>
      </w:r>
      <w:r>
        <w:br/>
      </w:r>
      <w:r>
        <w:t xml:space="preserve">Name: A. Karimov</w:t>
      </w:r>
      <w:r>
        <w:br/>
      </w:r>
      <w:r>
        <w:t xml:space="preserve">Date: _______________</w:t>
      </w:r>
    </w:p>
    <w:p>
      <w:pPr>
        <w:pStyle w:val="BodyText"/>
      </w:pPr>
      <w:r>
        <w:rPr>
          <w:bCs/>
          <w:b/>
        </w:rPr>
        <w:t xml:space="preserve">Candidate Signature:</w:t>
      </w:r>
      <w:r>
        <w:br/>
      </w:r>
      <w:r>
        <w:t xml:space="preserve">__________________________</w:t>
      </w:r>
      <w:r>
        <w:br/>
      </w:r>
      <w:r>
        <w:t xml:space="preserve">Name: _______________</w:t>
      </w:r>
      <w:r>
        <w:br/>
      </w:r>
      <w:r>
        <w:t xml:space="preserve">Date: 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Competency Assessment</dc:title>
  <dc:creator/>
  <dc:language>en</dc:language>
  <cp:keywords/>
  <dcterms:created xsi:type="dcterms:W3CDTF">2026-10-10T02:34:21Z</dcterms:created>
  <dcterms:modified xsi:type="dcterms:W3CDTF">2026-10-10T02:34:21Z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