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Chile</w:t>
      </w:r>
      <w:r>
        <w:t xml:space="preserve"> </w:t>
      </w:r>
      <w:r>
        <w:t xml:space="preserve">Santiago</w:t>
      </w:r>
    </w:p>
    <w:bookmarkStart w:id="32" w:name="X368f6bdc29b2781a8dd2b5ad881695949b69012"/>
    <w:p>
      <w:pPr>
        <w:pStyle w:val="Heading1"/>
      </w:pPr>
      <w:r>
        <w:t xml:space="preserve">Experiment Protocol: Strategic Optimization of the Marketing Manager Role in Chile Santiago</w:t>
      </w:r>
    </w:p>
    <w:p>
      <w:pPr>
        <w:pStyle w:val="FirstParagraph"/>
      </w:pPr>
      <w:r>
        <w:rPr>
          <w:bCs/>
          <w:b/>
        </w:rPr>
        <w:t xml:space="preserve">Document ID:</w:t>
      </w:r>
      <w:r>
        <w:t xml:space="preserve"> </w:t>
      </w:r>
      <w:r>
        <w:t xml:space="preserve">EXP-MKT-CLT-2024-001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Santiago, Chile</w:t>
      </w:r>
    </w:p>
    <w:p>
      <w:pPr>
        <w:pStyle w:val="BodyText"/>
      </w:pPr>
      <w:r>
        <w:rPr>
          <w:bCs/>
          <w:b/>
        </w:rPr>
        <w:t xml:space="preserve">Subject:</w:t>
      </w:r>
      <w:r>
        <w:t xml:space="preserve"> </w:t>
      </w:r>
      <w:r>
        <w:t xml:space="preserve">Marketing Manager Performance and Strategy Adaptation</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and optimizing the role of the Marketing Manager within the dynamic commercial landscape of Chile Santiago. Santiago, as the economic and cultural hub of Chile, presents a unique market characterized by high digital adoption, a competitive retail environment, and a culturally distinct consumer base. The traditional Marketing Manager role often struggles to keep pace with the rapid shifts in consumer behavior observed in the metropolitan area.</w:t>
      </w:r>
    </w:p>
    <w:p>
      <w:pPr>
        <w:pStyle w:val="BodyText"/>
      </w:pPr>
      <w:r>
        <w:t xml:space="preserve">The purpose of this experiment is to test a new, data-driven operational framework for the Marketing Manager position. We aim to determine if shifting from a purely creative-led approach to a hybrid "Growth &amp; Culture" model yields higher ROI, better brand resonance, and improved customer retention rates specifically within the Santiago market.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localized cultural messaging on campaign performance in Chile Santiago.</w:t>
      </w:r>
    </w:p>
    <w:p>
      <w:pPr>
        <w:numPr>
          <w:ilvl w:val="0"/>
          <w:numId w:val="1001"/>
        </w:numPr>
        <w:pStyle w:val="Compact"/>
      </w:pPr>
      <w:r>
        <w:t xml:space="preserve">To evaluate the effectiveness of the Marketing Manager utilizing real-time data analytics versus traditional quarterly planning.</w:t>
      </w:r>
    </w:p>
    <w:p>
      <w:pPr>
        <w:numPr>
          <w:ilvl w:val="0"/>
          <w:numId w:val="1001"/>
        </w:numPr>
        <w:pStyle w:val="Compact"/>
      </w:pPr>
      <w:r>
        <w:t xml:space="preserve">To assess the correlation between agile marketing strategies and sales conversion rates in the Santiago metropolitan region.</w:t>
      </w:r>
    </w:p>
    <w:p>
      <w:pPr>
        <w:numPr>
          <w:ilvl w:val="0"/>
          <w:numId w:val="1001"/>
        </w:numPr>
        <w:pStyle w:val="Compact"/>
      </w:pPr>
      <w:r>
        <w:t xml:space="preserve">To define a scalable competency model for Marketing Managers operating in Latin American urban centers.</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A Marketing Manager in Chile Santiago who integrates local cultural nuances (such as "chilenismos" and local events) into digital campaigns will achieve a 25% higher engagement rate than one using standardized global templates.</w:t>
      </w:r>
    </w:p>
    <w:p>
      <w:pPr>
        <w:pStyle w:val="BodyText"/>
      </w:pPr>
      <w:r>
        <w:rPr>
          <w:bCs/>
          <w:b/>
        </w:rPr>
        <w:t xml:space="preserve">H2:</w:t>
      </w:r>
      <w:r>
        <w:t xml:space="preserve"> </w:t>
      </w:r>
      <w:r>
        <w:t xml:space="preserve">Implementing a weekly agile review cycle for the Marketing Manager will reduce customer acquisition costs (CAC) by 15% within the first quarter of the experiment.</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We will select two comparable business units operating in different communes of Santiago (e.g., Providencia vs. Las Condes) to ensure demographic similarity while maintaining operational separation.</w:t>
      </w:r>
    </w:p>
    <w:p>
      <w:pPr>
        <w:numPr>
          <w:ilvl w:val="0"/>
          <w:numId w:val="1002"/>
        </w:numPr>
        <w:pStyle w:val="Compact"/>
      </w:pPr>
      <w:r>
        <w:rPr>
          <w:bCs/>
          <w:b/>
        </w:rPr>
        <w:t xml:space="preserve">Control Group:</w:t>
      </w:r>
      <w:r>
        <w:t xml:space="preserve"> </w:t>
      </w:r>
      <w:r>
        <w:t xml:space="preserve">Marketing Manager follows the standard operating procedure (SOP) with monthly planning and generic messaging.</w:t>
      </w:r>
    </w:p>
    <w:p>
      <w:pPr>
        <w:numPr>
          <w:ilvl w:val="0"/>
          <w:numId w:val="1002"/>
        </w:numPr>
        <w:pStyle w:val="Compact"/>
      </w:pPr>
      <w:r>
        <w:rPr>
          <w:bCs/>
          <w:b/>
        </w:rPr>
        <w:t xml:space="preserve">Experimental Group:</w:t>
      </w:r>
      <w:r>
        <w:t xml:space="preserve"> </w:t>
      </w:r>
      <w:r>
        <w:t xml:space="preserve">Marketing Manager adopts the "Agile-Local" protocol, featuring weekly sprints, hyper-localized content, and real-time budget reallocation.</w:t>
      </w:r>
    </w:p>
    <w:bookmarkEnd w:id="23"/>
    <w:bookmarkStart w:id="24" w:name="participants"/>
    <w:p>
      <w:pPr>
        <w:pStyle w:val="Heading3"/>
      </w:pPr>
      <w:r>
        <w:t xml:space="preserve">4.2 Participants</w:t>
      </w:r>
    </w:p>
    <w:p>
      <w:pPr>
        <w:pStyle w:val="FirstParagraph"/>
      </w:pPr>
      <w:r>
        <w:t xml:space="preserve">The primary participants are the Marketing Managers assigned to each group. They must have at least three years of experience in the Chilean market. Secondary participants include the sales teams and customer support staff who will provide qualitative feedback on lead quality.</w:t>
      </w:r>
    </w:p>
    <w:bookmarkEnd w:id="24"/>
    <w:bookmarkStart w:id="25" w:name="duration"/>
    <w:p>
      <w:pPr>
        <w:pStyle w:val="Heading3"/>
      </w:pPr>
      <w:r>
        <w:t xml:space="preserve">4.3 Duration</w:t>
      </w:r>
    </w:p>
    <w:p>
      <w:pPr>
        <w:pStyle w:val="FirstParagraph"/>
      </w:pPr>
      <w:r>
        <w:t xml:space="preserve">The experiment will run for a period of 12 weeks, divided into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Focus</w:t>
            </w:r>
          </w:p>
        </w:tc>
      </w:tr>
      <w:tr>
        <w:tc>
          <w:tcPr/>
          <w:p>
            <w:pPr>
              <w:pStyle w:val="Compact"/>
              <w:jc w:val="left"/>
            </w:pPr>
            <w:r>
              <w:t xml:space="preserve">Phase 1: Calibration</w:t>
            </w:r>
          </w:p>
        </w:tc>
        <w:tc>
          <w:tcPr/>
          <w:p>
            <w:pPr>
              <w:pStyle w:val="Compact"/>
              <w:jc w:val="left"/>
            </w:pPr>
            <w:r>
              <w:t xml:space="preserve">Weeks 1-2</w:t>
            </w:r>
          </w:p>
        </w:tc>
        <w:tc>
          <w:tcPr/>
          <w:p>
            <w:pPr>
              <w:pStyle w:val="Compact"/>
              <w:jc w:val="left"/>
            </w:pPr>
            <w:r>
              <w:t xml:space="preserve">Baseline data collection and training.</w:t>
            </w:r>
          </w:p>
        </w:tc>
      </w:tr>
      <w:tr>
        <w:tc>
          <w:tcPr/>
          <w:p>
            <w:pPr>
              <w:pStyle w:val="Compact"/>
              <w:jc w:val="left"/>
            </w:pPr>
            <w:r>
              <w:t xml:space="preserve">Phase 2: Execution</w:t>
            </w:r>
          </w:p>
        </w:tc>
        <w:tc>
          <w:tcPr/>
          <w:p>
            <w:pPr>
              <w:pStyle w:val="Compact"/>
              <w:jc w:val="left"/>
            </w:pPr>
            <w:r>
              <w:t xml:space="preserve">Weeks 3-10</w:t>
            </w:r>
          </w:p>
        </w:tc>
        <w:tc>
          <w:tcPr/>
          <w:p>
            <w:pPr>
              <w:pStyle w:val="Compact"/>
              <w:jc w:val="left"/>
            </w:pPr>
            <w:r>
              <w:t xml:space="preserve">Implementation of strategies and active monitoring.</w:t>
            </w:r>
          </w:p>
        </w:tc>
      </w:tr>
      <w:tr>
        <w:tc>
          <w:tcPr/>
          <w:p>
            <w:pPr>
              <w:pStyle w:val="Compact"/>
              <w:jc w:val="left"/>
            </w:pPr>
            <w:r>
              <w:t xml:space="preserve">Phase 3: Analysis</w:t>
            </w:r>
          </w:p>
        </w:tc>
        <w:tc>
          <w:tcPr/>
          <w:p>
            <w:pPr>
              <w:pStyle w:val="Compact"/>
              <w:jc w:val="left"/>
            </w:pPr>
            <w:r>
              <w:t xml:space="preserve">Weeks 11-12</w:t>
            </w:r>
          </w:p>
        </w:tc>
        <w:tc>
          <w:tcPr/>
          <w:p>
            <w:pPr>
              <w:pStyle w:val="Compact"/>
              <w:jc w:val="left"/>
            </w:pPr>
            <w:r>
              <w:t xml:space="preserve">Data aggregation and final reporting.</w:t>
            </w:r>
          </w:p>
        </w:tc>
      </w:tr>
    </w:tbl>
    <w:bookmarkEnd w:id="25"/>
    <w:bookmarkEnd w:id="26"/>
    <w:bookmarkStart w:id="27" w:name="key-performance-indicators-kpis"/>
    <w:p>
      <w:pPr>
        <w:pStyle w:val="Heading2"/>
      </w:pPr>
      <w:r>
        <w:t xml:space="preserve">5. Key Performance Indicators (KPIs)</w:t>
      </w:r>
    </w:p>
    <w:p>
      <w:pPr>
        <w:pStyle w:val="FirstParagraph"/>
      </w:pPr>
      <w:r>
        <w:t xml:space="preserve">To ensure the experiment yields actionable insights, the following metrics will be tracked rigorously:</w:t>
      </w:r>
    </w:p>
    <w:p>
      <w:pPr>
        <w:numPr>
          <w:ilvl w:val="0"/>
          <w:numId w:val="1003"/>
        </w:numPr>
        <w:pStyle w:val="Compact"/>
      </w:pPr>
      <w:r>
        <w:rPr>
          <w:bCs/>
          <w:b/>
        </w:rPr>
        <w:t xml:space="preserve">Customer Acquisition Cost (CAC):</w:t>
      </w:r>
      <w:r>
        <w:t xml:space="preserve"> </w:t>
      </w:r>
      <w:r>
        <w:t xml:space="preserve">Total marketing spend divided by new customers acquired in the Santiago region.</w:t>
      </w:r>
    </w:p>
    <w:p>
      <w:pPr>
        <w:numPr>
          <w:ilvl w:val="0"/>
          <w:numId w:val="1003"/>
        </w:numPr>
        <w:pStyle w:val="Compact"/>
      </w:pPr>
      <w:r>
        <w:rPr>
          <w:bCs/>
          <w:b/>
        </w:rPr>
        <w:t xml:space="preserve">Engagement Rate:</w:t>
      </w:r>
      <w:r>
        <w:t xml:space="preserve"> </w:t>
      </w:r>
      <w:r>
        <w:t xml:space="preserve">Interaction rates on social media platforms popular in Chile (Instagram, TikTok, LinkedIn).</w:t>
      </w:r>
    </w:p>
    <w:p>
      <w:pPr>
        <w:numPr>
          <w:ilvl w:val="0"/>
          <w:numId w:val="1003"/>
        </w:numPr>
        <w:pStyle w:val="Compact"/>
      </w:pPr>
      <w:r>
        <w:rPr>
          <w:bCs/>
          <w:b/>
        </w:rPr>
        <w:t xml:space="preserve">Conversion Rate:</w:t>
      </w:r>
      <w:r>
        <w:t xml:space="preserve"> </w:t>
      </w:r>
      <w:r>
        <w:t xml:space="preserve">Percentage of website visitors from Santiago IP addresses who complete a purchase.</w:t>
      </w:r>
    </w:p>
    <w:p>
      <w:pPr>
        <w:numPr>
          <w:ilvl w:val="0"/>
          <w:numId w:val="1003"/>
        </w:numPr>
        <w:pStyle w:val="Compact"/>
      </w:pPr>
      <w:r>
        <w:rPr>
          <w:bCs/>
          <w:b/>
        </w:rPr>
        <w:t xml:space="preserve">Brand Sentiment:</w:t>
      </w:r>
      <w:r>
        <w:t xml:space="preserve"> </w:t>
      </w:r>
      <w:r>
        <w:t xml:space="preserve">Analysis of social listening data to gauge public perception of the brand's local relevance.</w:t>
      </w:r>
    </w:p>
    <w:bookmarkEnd w:id="27"/>
    <w:bookmarkStart w:id="28" w:name="data-collection-and-analysis"/>
    <w:p>
      <w:pPr>
        <w:pStyle w:val="Heading2"/>
      </w:pPr>
      <w:r>
        <w:t xml:space="preserve">6. Data Collection and Analysis</w:t>
      </w:r>
    </w:p>
    <w:p>
      <w:pPr>
        <w:pStyle w:val="FirstParagraph"/>
      </w:pPr>
      <w:r>
        <w:t xml:space="preserve">Data will be collected using a combination of quantitative and qualitative methods. Quantitative data will be sourced from Google Analytics, CRM systems, and social media dashboards. Qualitative data will be gathered through weekly interviews with the Marketing Managers and focus groups with consumers in Santiago.</w:t>
      </w:r>
    </w:p>
    <w:p>
      <w:pPr>
        <w:pStyle w:val="BodyText"/>
      </w:pPr>
      <w:r>
        <w:t xml:space="preserve">Statistical analysis will be performed using ANOVA to compare the means of the KPIs between the Control and Experimental groups. A p-value of less than 0.05 will be considered statistically significant.</w:t>
      </w:r>
    </w:p>
    <w:bookmarkEnd w:id="28"/>
    <w:bookmarkStart w:id="29" w:name="ethical-considerations-and-compliance"/>
    <w:p>
      <w:pPr>
        <w:pStyle w:val="Heading2"/>
      </w:pPr>
      <w:r>
        <w:t xml:space="preserve">7. Ethical Considerations and Compliance</w:t>
      </w:r>
    </w:p>
    <w:p>
      <w:pPr>
        <w:pStyle w:val="FirstParagraph"/>
      </w:pPr>
      <w:r>
        <w:t xml:space="preserve">This experiment adheres to the Chilean Law on Protection of Personal Data (Law No. 19.628). All consumer data collected will be anonymized. Participants (Marketing Managers) will provide informed consent and will be briefed on the experimental nature of their tasks. There will be no negative repercussions for performance variances resulting from the experimental protocol.</w:t>
      </w:r>
    </w:p>
    <w:bookmarkEnd w:id="29"/>
    <w:bookmarkStart w:id="30" w:name="risk-management"/>
    <w:p>
      <w:pPr>
        <w:pStyle w:val="Heading2"/>
      </w:pPr>
      <w:r>
        <w:t xml:space="preserve">8. Risk Management</w:t>
      </w:r>
    </w:p>
    <w:p>
      <w:pPr>
        <w:pStyle w:val="FirstParagraph"/>
      </w:pPr>
      <w:r>
        <w:t xml:space="preserve">Potential risks include market volatility in Santiago or external economic factors affecting consumer spending. To mitigate this, we will monitor national economic indicators and adjust the baseline expectations if significant macroeconomic shifts occur during the 12-week period.</w:t>
      </w:r>
    </w:p>
    <w:bookmarkEnd w:id="30"/>
    <w:bookmarkStart w:id="31" w:name="conclusion-and-expected-outcomes"/>
    <w:p>
      <w:pPr>
        <w:pStyle w:val="Heading2"/>
      </w:pPr>
      <w:r>
        <w:t xml:space="preserve">9. Conclusion and Expected Outcomes</w:t>
      </w:r>
    </w:p>
    <w:p>
      <w:pPr>
        <w:pStyle w:val="FirstParagraph"/>
      </w:pPr>
      <w:r>
        <w:t xml:space="preserve">Upon completion, this Experiment Protocol will provide a definitive guide on how the Marketing Manager role should evolve in Chile Santiago. We expect to demonstrate that a localized, agile approach is not just beneficial but essential for market leadership in this region. The findings will be compiled into a best-practice manual for future deployment across other Latin American markets.</w:t>
      </w:r>
    </w:p>
    <w:bookmarkEnd w:id="31"/>
    <w:p>
      <w:pPr>
        <w:pStyle w:val="BodyText"/>
      </w:pPr>
      <w:r>
        <w:t xml:space="preserve">Prepared by the Strategic Research Division.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Chile Santiago</dc:title>
  <dc:creator/>
  <dc:language>en</dc:language>
  <cp:keywords/>
  <dcterms:created xsi:type="dcterms:W3CDTF">2026-10-10T02:57:10Z</dcterms:created>
  <dcterms:modified xsi:type="dcterms:W3CDTF">2026-10-10T02:57:10Z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