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China</w:t>
      </w:r>
      <w:r>
        <w:t xml:space="preserve"> </w:t>
      </w:r>
      <w:r>
        <w:t xml:space="preserve">Shanghai</w:t>
      </w:r>
    </w:p>
    <w:bookmarkStart w:id="30" w:name="X2929ff88bd2a57961b4482b831f3c47d7eeb5e6"/>
    <w:p>
      <w:pPr>
        <w:pStyle w:val="Heading1"/>
      </w:pPr>
      <w:r>
        <w:t xml:space="preserve">Experiment Protocol: Strategic Marketing Manager Efficacy in China Shanghai</w:t>
      </w:r>
    </w:p>
    <w:p>
      <w:pPr>
        <w:pStyle w:val="FirstParagraph"/>
      </w:pPr>
      <w:r>
        <w:rPr>
          <w:bCs/>
          <w:b/>
        </w:rPr>
        <w:t xml:space="preserve">Protocol ID:</w:t>
      </w:r>
      <w:r>
        <w:t xml:space="preserve"> </w:t>
      </w:r>
      <w:r>
        <w:t xml:space="preserve">SH-MKT-EXP-2024-001</w:t>
      </w:r>
    </w:p>
    <w:p>
      <w:pPr>
        <w:pStyle w:val="BodyText"/>
      </w:pPr>
      <w:r>
        <w:rPr>
          <w:bCs/>
          <w:b/>
        </w:rPr>
        <w:t xml:space="preserve">Location:</w:t>
      </w:r>
      <w:r>
        <w:t xml:space="preserve"> </w:t>
      </w:r>
      <w:r>
        <w:t xml:space="preserve">China Shanghai (Pudong and Jing'an Districts)</w:t>
      </w:r>
    </w:p>
    <w:p>
      <w:pPr>
        <w:pStyle w:val="BodyText"/>
      </w:pPr>
      <w:r>
        <w:rPr>
          <w:bCs/>
          <w:b/>
        </w:rPr>
        <w:t xml:space="preserve">Subject Role:</w:t>
      </w:r>
      <w:r>
        <w:t xml:space="preserve"> </w:t>
      </w:r>
      <w:r>
        <w:t xml:space="preserve">Marketing Manager</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strategic impact, and cultural adaptability of a Marketing Manager operating within the highly competitive and dynamic business environment of China Shanghai. Shanghai represents a unique microcosm of the Chinese market, characterized by rapid digital adoption, high consumer expectations, and a complex regulatory landscape.</w:t>
      </w:r>
    </w:p>
    <w:p>
      <w:pPr>
        <w:pStyle w:val="BodyText"/>
      </w:pPr>
      <w:r>
        <w:t xml:space="preserve">The role of the Marketing Manager in this context is not merely administrative but pivotal in bridging global brand strategies with local consumer behaviors. This experiment aims to quantify the effectiveness of specific marketing interventions led by the Marketing Manager, focusing on digital engagement, brand localization, and sales conversion within the Shanghai metropolitan area.</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Marketing Manager's ability to navigate local digital ecosystems, specifically WeChat, Xiaohongshu (Little Red Book), and Douyin.</w:t>
      </w:r>
    </w:p>
    <w:p>
      <w:pPr>
        <w:numPr>
          <w:ilvl w:val="0"/>
          <w:numId w:val="1001"/>
        </w:numPr>
        <w:pStyle w:val="Compact"/>
      </w:pPr>
      <w:r>
        <w:t xml:space="preserve">To measure the impact of culturally adapted marketing campaigns on brand sentiment among Shanghai's urban demographic.</w:t>
      </w:r>
    </w:p>
    <w:p>
      <w:pPr>
        <w:numPr>
          <w:ilvl w:val="0"/>
          <w:numId w:val="1001"/>
        </w:numPr>
        <w:pStyle w:val="Compact"/>
      </w:pPr>
      <w:r>
        <w:t xml:space="preserve">To evaluate the Marketing Manager's compliance with China's data security laws and advertising regulations.</w:t>
      </w:r>
    </w:p>
    <w:p>
      <w:pPr>
        <w:numPr>
          <w:ilvl w:val="0"/>
          <w:numId w:val="1001"/>
        </w:numPr>
        <w:pStyle w:val="Compact"/>
      </w:pPr>
      <w:r>
        <w:t xml:space="preserve">To determine the correlation between the Marketing Manager's strategic decisions and regional Key Performance Indicators (KPIs).</w:t>
      </w:r>
    </w:p>
    <w:bookmarkEnd w:id="21"/>
    <w:bookmarkStart w:id="24" w:name="scope-and-methodology"/>
    <w:p>
      <w:pPr>
        <w:pStyle w:val="Heading2"/>
      </w:pPr>
      <w:r>
        <w:t xml:space="preserve">3. Scope and Methodology</w:t>
      </w:r>
    </w:p>
    <w:bookmarkStart w:id="22" w:name="study-design"/>
    <w:p>
      <w:pPr>
        <w:pStyle w:val="Heading3"/>
      </w:pPr>
      <w:r>
        <w:t xml:space="preserve">3.1 Study Design</w:t>
      </w:r>
    </w:p>
    <w:p>
      <w:pPr>
        <w:pStyle w:val="FirstParagraph"/>
      </w:pPr>
      <w:r>
        <w:t xml:space="preserve">This study will utilize a quasi-experimental design involving a controlled A/B testing framework. The Marketing Manager will oversee two distinct campaign strategies over a period of 90 days.</w:t>
      </w:r>
    </w:p>
    <w:p>
      <w:pPr>
        <w:numPr>
          <w:ilvl w:val="0"/>
          <w:numId w:val="1002"/>
        </w:numPr>
        <w:pStyle w:val="Compact"/>
      </w:pPr>
      <w:r>
        <w:rPr>
          <w:bCs/>
          <w:b/>
        </w:rPr>
        <w:t xml:space="preserve">Control Group (Strategy A):</w:t>
      </w:r>
      <w:r>
        <w:t xml:space="preserve"> </w:t>
      </w:r>
      <w:r>
        <w:t xml:space="preserve">Implementation of standardized global marketing assets with minimal localization.</w:t>
      </w:r>
    </w:p>
    <w:p>
      <w:pPr>
        <w:numPr>
          <w:ilvl w:val="0"/>
          <w:numId w:val="1002"/>
        </w:numPr>
        <w:pStyle w:val="Compact"/>
      </w:pPr>
      <w:r>
        <w:rPr>
          <w:bCs/>
          <w:b/>
        </w:rPr>
        <w:t xml:space="preserve">Experimental Group (Strategy B):</w:t>
      </w:r>
      <w:r>
        <w:t xml:space="preserve"> </w:t>
      </w:r>
      <w:r>
        <w:t xml:space="preserve">Implementation of hyper-localized strategies developed by the Marketing Manager, incorporating Shanghai-specific cultural nuances, influencers, and channels.</w:t>
      </w:r>
    </w:p>
    <w:bookmarkEnd w:id="22"/>
    <w:bookmarkStart w:id="23" w:name="target-audience"/>
    <w:p>
      <w:pPr>
        <w:pStyle w:val="Heading3"/>
      </w:pPr>
      <w:r>
        <w:t xml:space="preserve">3.2 Target Audience</w:t>
      </w:r>
    </w:p>
    <w:p>
      <w:pPr>
        <w:pStyle w:val="FirstParagraph"/>
      </w:pPr>
      <w:r>
        <w:t xml:space="preserve">The target demographic for this experiment is residents of China Shanghai aged 25-45, with a focus on high-income earners and early adopters of technology. This demographic is critical for testing the Marketing Manager's ability to drive premium brand value.</w:t>
      </w:r>
    </w:p>
    <w:bookmarkEnd w:id="23"/>
    <w:bookmarkEnd w:id="24"/>
    <w:bookmarkStart w:id="25" w:name="roles-and-responsibilities"/>
    <w:p>
      <w:pPr>
        <w:pStyle w:val="Heading2"/>
      </w:pPr>
      <w:r>
        <w:t xml:space="preserve">4. Roles and Responsibilities</w:t>
      </w:r>
    </w:p>
    <w:p>
      <w:pPr>
        <w:pStyle w:val="FirstParagraph"/>
      </w:pPr>
      <w:r>
        <w:t xml:space="preserve">The Marketing Manager is the central figure in this protocol. Their responsibilities include:</w:t>
      </w:r>
    </w:p>
    <w:p>
      <w:pPr>
        <w:numPr>
          <w:ilvl w:val="0"/>
          <w:numId w:val="1003"/>
        </w:numPr>
        <w:pStyle w:val="Compact"/>
      </w:pPr>
      <w:r>
        <w:rPr>
          <w:bCs/>
          <w:b/>
        </w:rPr>
        <w:t xml:space="preserve">Strategy Formulation:</w:t>
      </w:r>
      <w:r>
        <w:t xml:space="preserve"> </w:t>
      </w:r>
      <w:r>
        <w:t xml:space="preserve">Designing the Experimental Group (Strategy B) campaigns.</w:t>
      </w:r>
    </w:p>
    <w:p>
      <w:pPr>
        <w:numPr>
          <w:ilvl w:val="0"/>
          <w:numId w:val="1003"/>
        </w:numPr>
        <w:pStyle w:val="Compact"/>
      </w:pPr>
      <w:r>
        <w:rPr>
          <w:bCs/>
          <w:b/>
        </w:rPr>
        <w:t xml:space="preserve">Stakeholder Management:</w:t>
      </w:r>
      <w:r>
        <w:t xml:space="preserve"> </w:t>
      </w:r>
      <w:r>
        <w:t xml:space="preserve">Coordinating with local agencies, KOLs (Key Opinion Leaders), and internal teams.</w:t>
      </w:r>
    </w:p>
    <w:p>
      <w:pPr>
        <w:numPr>
          <w:ilvl w:val="0"/>
          <w:numId w:val="1003"/>
        </w:numPr>
        <w:pStyle w:val="Compact"/>
      </w:pPr>
      <w:r>
        <w:rPr>
          <w:bCs/>
          <w:b/>
        </w:rPr>
        <w:t xml:space="preserve">Compliance Oversight:</w:t>
      </w:r>
      <w:r>
        <w:t xml:space="preserve"> </w:t>
      </w:r>
      <w:r>
        <w:t xml:space="preserve">Ensuring all marketing materials adhere to the Advertising Law of the People's Republic of China.</w:t>
      </w:r>
    </w:p>
    <w:p>
      <w:pPr>
        <w:numPr>
          <w:ilvl w:val="0"/>
          <w:numId w:val="1003"/>
        </w:numPr>
        <w:pStyle w:val="Compact"/>
      </w:pPr>
      <w:r>
        <w:rPr>
          <w:bCs/>
          <w:b/>
        </w:rPr>
        <w:t xml:space="preserve">Data Analysis:</w:t>
      </w:r>
      <w:r>
        <w:t xml:space="preserve"> </w:t>
      </w:r>
      <w:r>
        <w:t xml:space="preserve">Providing weekly reports on campaign performance metrics.</w:t>
      </w:r>
    </w:p>
    <w:bookmarkEnd w:id="25"/>
    <w:bookmarkStart w:id="26" w:name="key-performance-indicators-kpis"/>
    <w:p>
      <w:pPr>
        <w:pStyle w:val="Heading2"/>
      </w:pPr>
      <w:r>
        <w:t xml:space="preserve">5. Key Performance Indicators (KPIs)</w:t>
      </w:r>
    </w:p>
    <w:p>
      <w:pPr>
        <w:pStyle w:val="FirstParagraph"/>
      </w:pPr>
      <w:r>
        <w:t xml:space="preserve">Success will be measured against the following quantitative and qualitative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Customer Acquisition Cost (CAC)</w:t>
            </w:r>
          </w:p>
        </w:tc>
        <w:tc>
          <w:tcPr/>
          <w:p>
            <w:pPr>
              <w:pStyle w:val="Compact"/>
              <w:jc w:val="left"/>
            </w:pPr>
            <w:r>
              <w:t xml:space="preserve">Cost to acquire a new customer in Shanghai via Strategy B vs. Strategy A.</w:t>
            </w:r>
          </w:p>
        </w:tc>
        <w:tc>
          <w:tcPr/>
          <w:p>
            <w:pPr>
              <w:pStyle w:val="Compact"/>
              <w:jc w:val="left"/>
            </w:pPr>
            <w:r>
              <w:t xml:space="preserve">15% reduction in Strategy B</w:t>
            </w:r>
          </w:p>
        </w:tc>
      </w:tr>
      <w:tr>
        <w:tc>
          <w:tcPr/>
          <w:p>
            <w:pPr>
              <w:pStyle w:val="Compact"/>
              <w:jc w:val="left"/>
            </w:pPr>
            <w:r>
              <w:t xml:space="preserve">Engagement Rate</w:t>
            </w:r>
          </w:p>
        </w:tc>
        <w:tc>
          <w:tcPr/>
          <w:p>
            <w:pPr>
              <w:pStyle w:val="Compact"/>
              <w:jc w:val="left"/>
            </w:pPr>
            <w:r>
              <w:t xml:space="preserve">Interaction rates on WeChat Official Accounts and Xiaohongshu posts.</w:t>
            </w:r>
          </w:p>
        </w:tc>
        <w:tc>
          <w:tcPr/>
          <w:p>
            <w:pPr>
              <w:pStyle w:val="Compact"/>
              <w:jc w:val="left"/>
            </w:pPr>
            <w:r>
              <w:t xml:space="preserve">20% increase in Strategy B</w:t>
            </w:r>
          </w:p>
        </w:tc>
      </w:tr>
      <w:tr>
        <w:tc>
          <w:tcPr/>
          <w:p>
            <w:pPr>
              <w:pStyle w:val="Compact"/>
              <w:jc w:val="left"/>
            </w:pPr>
            <w:r>
              <w:t xml:space="preserve">Brand Sentiment</w:t>
            </w:r>
          </w:p>
        </w:tc>
        <w:tc>
          <w:tcPr/>
          <w:p>
            <w:pPr>
              <w:pStyle w:val="Compact"/>
              <w:jc w:val="left"/>
            </w:pPr>
            <w:r>
              <w:t xml:space="preserve">Analysis of consumer sentiment using NLP tools on local social platforms.</w:t>
            </w:r>
          </w:p>
        </w:tc>
        <w:tc>
          <w:tcPr/>
          <w:p>
            <w:pPr>
              <w:pStyle w:val="Compact"/>
              <w:jc w:val="left"/>
            </w:pPr>
            <w:r>
              <w:t xml:space="preserve">Positive shift of 10% in Strategy B</w:t>
            </w:r>
          </w:p>
        </w:tc>
      </w:tr>
      <w:tr>
        <w:tc>
          <w:tcPr/>
          <w:p>
            <w:pPr>
              <w:pStyle w:val="Compact"/>
              <w:jc w:val="left"/>
            </w:pPr>
            <w:r>
              <w:t xml:space="preserve">Conversion Rate</w:t>
            </w:r>
          </w:p>
        </w:tc>
        <w:tc>
          <w:tcPr/>
          <w:p>
            <w:pPr>
              <w:pStyle w:val="Compact"/>
              <w:jc w:val="left"/>
            </w:pPr>
            <w:r>
              <w:t xml:space="preserve">Percentage of leads converted to sales within the Shanghai region.</w:t>
            </w:r>
          </w:p>
        </w:tc>
        <w:tc>
          <w:tcPr/>
          <w:p>
            <w:pPr>
              <w:pStyle w:val="Compact"/>
              <w:jc w:val="left"/>
            </w:pPr>
            <w:r>
              <w:t xml:space="preserve">10% increase in Strategy B</w:t>
            </w:r>
          </w:p>
        </w:tc>
      </w:tr>
    </w:tbl>
    <w:bookmarkEnd w:id="26"/>
    <w:bookmarkStart w:id="27" w:name="ethical-considerations-and-compliance"/>
    <w:p>
      <w:pPr>
        <w:pStyle w:val="Heading2"/>
      </w:pPr>
      <w:r>
        <w:t xml:space="preserve">6. Ethical Considerations and Compliance</w:t>
      </w:r>
    </w:p>
    <w:p>
      <w:pPr>
        <w:pStyle w:val="FirstParagraph"/>
      </w:pPr>
      <w:r>
        <w:t xml:space="preserve">Given the strict regulatory environment in China Shanghai, this protocol mandates strict adherence to ethical standards. The Marketing Manager must ensure:</w:t>
      </w:r>
    </w:p>
    <w:p>
      <w:pPr>
        <w:numPr>
          <w:ilvl w:val="0"/>
          <w:numId w:val="1004"/>
        </w:numPr>
        <w:pStyle w:val="Compact"/>
      </w:pPr>
      <w:r>
        <w:rPr>
          <w:bCs/>
          <w:b/>
        </w:rPr>
        <w:t xml:space="preserve">Data Privacy:</w:t>
      </w:r>
      <w:r>
        <w:t xml:space="preserve"> </w:t>
      </w:r>
      <w:r>
        <w:t xml:space="preserve">Compliance with the Personal Information Protection Law (PIPL). No consumer data will be transferred outside of China without explicit consent and legal clearance.</w:t>
      </w:r>
    </w:p>
    <w:p>
      <w:pPr>
        <w:numPr>
          <w:ilvl w:val="0"/>
          <w:numId w:val="1004"/>
        </w:numPr>
        <w:pStyle w:val="Compact"/>
      </w:pPr>
      <w:r>
        <w:rPr>
          <w:bCs/>
          <w:b/>
        </w:rPr>
        <w:t xml:space="preserve">Truth in Advertising:</w:t>
      </w:r>
      <w:r>
        <w:t xml:space="preserve"> </w:t>
      </w:r>
      <w:r>
        <w:t xml:space="preserve">All claims made in marketing materials must be substantiated to avoid penalties under Chinese advertising laws.</w:t>
      </w:r>
    </w:p>
    <w:p>
      <w:pPr>
        <w:numPr>
          <w:ilvl w:val="0"/>
          <w:numId w:val="1004"/>
        </w:numPr>
        <w:pStyle w:val="Compact"/>
      </w:pPr>
      <w:r>
        <w:rPr>
          <w:bCs/>
          <w:b/>
        </w:rPr>
        <w:t xml:space="preserve">Cultural Sensitivity:</w:t>
      </w:r>
      <w:r>
        <w:t xml:space="preserve"> </w:t>
      </w:r>
      <w:r>
        <w:t xml:space="preserve">Campaigns must respect local customs and avoid content that could be deemed politically or socially sensitive.</w:t>
      </w:r>
    </w:p>
    <w:bookmarkEnd w:id="27"/>
    <w:bookmarkStart w:id="28" w:name="timeline"/>
    <w:p>
      <w:pPr>
        <w:pStyle w:val="Heading2"/>
      </w:pPr>
      <w:r>
        <w:t xml:space="preserve">7. Timeline</w:t>
      </w:r>
    </w:p>
    <w:p>
      <w:pPr>
        <w:pStyle w:val="FirstParagraph"/>
      </w:pPr>
      <w:r>
        <w:t xml:space="preserve">The experiment will run for a total of 12 weeks:</w:t>
      </w:r>
    </w:p>
    <w:p>
      <w:pPr>
        <w:numPr>
          <w:ilvl w:val="0"/>
          <w:numId w:val="1005"/>
        </w:numPr>
        <w:pStyle w:val="Compact"/>
      </w:pPr>
      <w:r>
        <w:rPr>
          <w:bCs/>
          <w:b/>
        </w:rPr>
        <w:t xml:space="preserve">Weeks 1-2:</w:t>
      </w:r>
      <w:r>
        <w:t xml:space="preserve"> </w:t>
      </w:r>
      <w:r>
        <w:t xml:space="preserve">Preparation, asset creation, and baseline data collection.</w:t>
      </w:r>
    </w:p>
    <w:p>
      <w:pPr>
        <w:numPr>
          <w:ilvl w:val="0"/>
          <w:numId w:val="1005"/>
        </w:numPr>
        <w:pStyle w:val="Compact"/>
      </w:pPr>
      <w:r>
        <w:rPr>
          <w:bCs/>
          <w:b/>
        </w:rPr>
        <w:t xml:space="preserve">Weeks 3-10:</w:t>
      </w:r>
      <w:r>
        <w:t xml:space="preserve"> </w:t>
      </w:r>
      <w:r>
        <w:t xml:space="preserve">Active campaign execution by the Marketing Manager.</w:t>
      </w:r>
    </w:p>
    <w:p>
      <w:pPr>
        <w:numPr>
          <w:ilvl w:val="0"/>
          <w:numId w:val="1005"/>
        </w:numPr>
        <w:pStyle w:val="Compact"/>
      </w:pPr>
      <w:r>
        <w:rPr>
          <w:bCs/>
          <w:b/>
        </w:rPr>
        <w:t xml:space="preserve">Weeks 11-12:</w:t>
      </w:r>
      <w:r>
        <w:t xml:space="preserve"> </w:t>
      </w:r>
      <w:r>
        <w:t xml:space="preserve">Data analysis, reporting, and final evaluation.</w:t>
      </w:r>
    </w:p>
    <w:bookmarkEnd w:id="28"/>
    <w:bookmarkStart w:id="29" w:name="conclusion"/>
    <w:p>
      <w:pPr>
        <w:pStyle w:val="Heading2"/>
      </w:pPr>
      <w:r>
        <w:t xml:space="preserve">8. Conclusion</w:t>
      </w:r>
    </w:p>
    <w:p>
      <w:pPr>
        <w:pStyle w:val="FirstParagraph"/>
      </w:pPr>
      <w:r>
        <w:t xml:space="preserve">This Experiment Protocol provides a structured approach to evaluating the Marketing Manager's capabilities in the China Shanghai market. By focusing on localized strategies, digital innovation, and regulatory compliance, this study will yield actionable insights into optimizing marketing operations in one of the world's most sophisticated commercial hubs. The findings will inform future hiring practices and strategic planning for regional expansion.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China Shanghai</dc:title>
  <dc:creator/>
  <dc:language>en</dc:language>
  <cp:keywords/>
  <dcterms:created xsi:type="dcterms:W3CDTF">2026-10-10T02:49:17Z</dcterms:created>
  <dcterms:modified xsi:type="dcterms:W3CDTF">2026-10-10T02:49:17Z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