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India</w:t>
      </w:r>
      <w:r>
        <w:t xml:space="preserve"> </w:t>
      </w:r>
      <w:r>
        <w:t xml:space="preserve">Mumbai</w:t>
      </w:r>
    </w:p>
    <w:bookmarkStart w:id="31" w:name="Xef6e35dfb402f488faa1b6c0d09e6ed1d0623f2"/>
    <w:p>
      <w:pPr>
        <w:pStyle w:val="Heading1"/>
      </w:pPr>
      <w:r>
        <w:t xml:space="preserve">Experiment Protocol: Strategic Optimization of the Marketing Manager Role in India Mumbai</w:t>
      </w:r>
    </w:p>
    <w:p>
      <w:pPr>
        <w:pStyle w:val="FirstParagraph"/>
      </w:pPr>
      <w:r>
        <w:rPr>
          <w:bCs/>
          <w:b/>
        </w:rPr>
        <w:t xml:space="preserve">Protocol ID:</w:t>
      </w:r>
      <w:r>
        <w:t xml:space="preserve"> </w:t>
      </w:r>
      <w:r>
        <w:t xml:space="preserve">EXP-MKT-MUM-2024-001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Mumbai, Maharashtra, India</w:t>
      </w:r>
    </w:p>
    <w:p>
      <w:pPr>
        <w:pStyle w:val="BodyText"/>
      </w:pPr>
      <w:r>
        <w:rPr>
          <w:bCs/>
          <w:b/>
        </w:rPr>
        <w:t xml:space="preserve">Subject:</w:t>
      </w:r>
      <w:r>
        <w:t xml:space="preserve"> </w:t>
      </w:r>
      <w:r>
        <w:t xml:space="preserve">Marketing Manager Performance and Strategy Adaptation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optimizing the role of the Marketing Manager within the dynamic business environment of India Mumbai. Mumbai, as the financial and commercial capital of India, presents a unique ecosystem characterized by high population density, diverse cultural demographics, rapid digital adoption, and intense market competition.</w:t>
      </w:r>
    </w:p>
    <w:p>
      <w:pPr>
        <w:pStyle w:val="BodyText"/>
      </w:pPr>
      <w:r>
        <w:t xml:space="preserve">The traditional definition of a Marketing Manager is evolving. In the context of Mumbai, this role must bridge the gap between global brand standards and hyper-local consumer behaviors. This experiment aims to test specific hypotheses regarding how a Marketing Manager can leverage local insights, digital channels, and cultural nuances to drive measurable business growth. The protocol is designed to provide a structured framework for testing marketing strategies, resource allocation, and performance metrics specific to the Mumbai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localized marketing strategies led by the Marketing Manager in Mumbai compared to standardized national campaigns.</w:t>
      </w:r>
    </w:p>
    <w:p>
      <w:pPr>
        <w:numPr>
          <w:ilvl w:val="0"/>
          <w:numId w:val="1001"/>
        </w:numPr>
        <w:pStyle w:val="Compact"/>
      </w:pPr>
      <w:r>
        <w:t xml:space="preserve">To evaluate the impact of digital-first approaches (social media, influencer marketing, vernacular content) on customer acquisition costs (CAC) and return on ad spend (ROAS) in the Mumbai region.</w:t>
      </w:r>
    </w:p>
    <w:p>
      <w:pPr>
        <w:numPr>
          <w:ilvl w:val="0"/>
          <w:numId w:val="1001"/>
        </w:numPr>
        <w:pStyle w:val="Compact"/>
      </w:pPr>
      <w:r>
        <w:t xml:space="preserve">To determine the optimal skill set and decision-making autonomy required for a Marketing Manager operating in the high-pressure Mumbai corporate landscape.</w:t>
      </w:r>
    </w:p>
    <w:p>
      <w:pPr>
        <w:numPr>
          <w:ilvl w:val="0"/>
          <w:numId w:val="1001"/>
        </w:numPr>
        <w:pStyle w:val="Compact"/>
      </w:pPr>
      <w:r>
        <w:t xml:space="preserve">To measure the correlation between community engagement initiatives and brand loyalty among Mumbai’s diverse consumer segments.</w:t>
      </w:r>
    </w:p>
    <w:bookmarkEnd w:id="21"/>
    <w:bookmarkStart w:id="22" w:name="hypotheses"/>
    <w:p>
      <w:pPr>
        <w:pStyle w:val="Heading2"/>
      </w:pPr>
      <w:r>
        <w:t xml:space="preserve">3. Hypotheses</w:t>
      </w:r>
    </w:p>
    <w:p>
      <w:pPr>
        <w:pStyle w:val="FirstParagraph"/>
      </w:pPr>
      <w:r>
        <w:rPr>
          <w:bCs/>
          <w:b/>
        </w:rPr>
        <w:t xml:space="preserve">H1:</w:t>
      </w:r>
      <w:r>
        <w:t xml:space="preserve"> </w:t>
      </w:r>
      <w:r>
        <w:t xml:space="preserve">A Marketing Manager in Mumbai who allocates at least 40% of the budget to hyper-localized digital campaigns (targeting specific Mumbai neighborhoods and cultural events) will achieve a 25% higher conversion rate than one using a generic national strategy.</w:t>
      </w:r>
    </w:p>
    <w:p>
      <w:pPr>
        <w:pStyle w:val="BodyText"/>
      </w:pPr>
      <w:r>
        <w:rPr>
          <w:bCs/>
          <w:b/>
        </w:rPr>
        <w:t xml:space="preserve">H2:</w:t>
      </w:r>
      <w:r>
        <w:t xml:space="preserve"> </w:t>
      </w:r>
      <w:r>
        <w:t xml:space="preserve">Empowering the Marketing Manager with real-time data analytics tools will reduce campaign adjustment time by 50%, leading to improved performance during peak Mumbai business hours and festive seasons.</w:t>
      </w:r>
    </w:p>
    <w:p>
      <w:pPr>
        <w:pStyle w:val="BodyText"/>
      </w:pPr>
      <w:r>
        <w:rPr>
          <w:bCs/>
          <w:b/>
        </w:rPr>
        <w:t xml:space="preserve">H3:</w:t>
      </w:r>
      <w:r>
        <w:t xml:space="preserve"> </w:t>
      </w:r>
      <w:r>
        <w:t xml:space="preserve">Integration of vernacular content (Marathi, Hindi, English mix) managed by the Marketing Manager will increase engagement rates by 30% among Tier-1 and Tier-2 consumers within the Mumbai metropolitan area.</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Two groups of Marketing Managers (or two distinct market segments managed by different strategies) will be compared over a period of six months.</w:t>
      </w:r>
    </w:p>
    <w:p>
      <w:pPr>
        <w:numPr>
          <w:ilvl w:val="0"/>
          <w:numId w:val="1002"/>
        </w:numPr>
        <w:pStyle w:val="Compact"/>
      </w:pPr>
      <w:r>
        <w:rPr>
          <w:bCs/>
          <w:b/>
        </w:rPr>
        <w:t xml:space="preserve">Control Group:</w:t>
      </w:r>
      <w:r>
        <w:t xml:space="preserve"> </w:t>
      </w:r>
      <w:r>
        <w:t xml:space="preserve">Marketing Managers following the standard corporate playbook with centralized strategy and minimal local adaptation.</w:t>
      </w:r>
    </w:p>
    <w:p>
      <w:pPr>
        <w:numPr>
          <w:ilvl w:val="0"/>
          <w:numId w:val="1002"/>
        </w:numPr>
        <w:pStyle w:val="Compact"/>
      </w:pPr>
      <w:r>
        <w:rPr>
          <w:bCs/>
          <w:b/>
        </w:rPr>
        <w:t xml:space="preserve">Experimental Group:</w:t>
      </w:r>
      <w:r>
        <w:t xml:space="preserve"> </w:t>
      </w:r>
      <w:r>
        <w:t xml:space="preserve">Marketing Managers in Mumbai granted autonomy to implement localized strategies, including vernacular content, local influencer partnerships, and community-driven events.</w:t>
      </w:r>
    </w:p>
    <w:bookmarkEnd w:id="23"/>
    <w:bookmarkStart w:id="24" w:name="participants"/>
    <w:p>
      <w:pPr>
        <w:pStyle w:val="Heading3"/>
      </w:pPr>
      <w:r>
        <w:t xml:space="preserve">4.2 Participants</w:t>
      </w:r>
    </w:p>
    <w:p>
      <w:pPr>
        <w:pStyle w:val="FirstParagraph"/>
      </w:pPr>
      <w:r>
        <w:t xml:space="preserve">The experiment will involve Marketing Managers and their teams based in Mumbai. Participants must have at least three years of experience in the Indian market. The sample size will be sufficient to ensure statistical significance, targeting a minimum of 20 marketing units across various industries (FMCG, Tech, Retail).</w:t>
      </w:r>
    </w:p>
    <w:bookmarkEnd w:id="24"/>
    <w:bookmarkStart w:id="25" w:name="procedures"/>
    <w:p>
      <w:pPr>
        <w:pStyle w:val="Heading3"/>
      </w:pPr>
      <w:r>
        <w:t xml:space="preserve">4.3 Procedures</w:t>
      </w:r>
    </w:p>
    <w:p>
      <w:pPr>
        <w:pStyle w:val="FirstParagraph"/>
      </w:pPr>
      <w:r>
        <w:t xml:space="preserve">The experiment will proceed in three phases:</w:t>
      </w:r>
    </w:p>
    <w:p>
      <w:pPr>
        <w:numPr>
          <w:ilvl w:val="0"/>
          <w:numId w:val="1003"/>
        </w:numPr>
        <w:pStyle w:val="Compact"/>
      </w:pPr>
      <w:r>
        <w:rPr>
          <w:bCs/>
          <w:b/>
        </w:rPr>
        <w:t xml:space="preserve">Baseline Assessment (Weeks 1-2):</w:t>
      </w:r>
      <w:r>
        <w:t xml:space="preserve"> </w:t>
      </w:r>
      <w:r>
        <w:t xml:space="preserve">Collect historical data on marketing performance, budget utilization, and team structure for all participants.</w:t>
      </w:r>
    </w:p>
    <w:p>
      <w:pPr>
        <w:numPr>
          <w:ilvl w:val="0"/>
          <w:numId w:val="1003"/>
        </w:numPr>
        <w:pStyle w:val="Compact"/>
      </w:pPr>
      <w:r>
        <w:rPr>
          <w:bCs/>
          <w:b/>
        </w:rPr>
        <w:t xml:space="preserve">Intervention Phase (Weeks 3-22):</w:t>
      </w:r>
      <w:r>
        <w:t xml:space="preserve"> </w:t>
      </w:r>
      <w:r>
        <w:t xml:space="preserve">Implement the designated strategies. The Experimental Group will receive training on local market dynamics and access to specialized tools. Weekly check-ins will monitor progress without interfering with decision-making.</w:t>
      </w:r>
    </w:p>
    <w:p>
      <w:pPr>
        <w:numPr>
          <w:ilvl w:val="0"/>
          <w:numId w:val="1003"/>
        </w:numPr>
        <w:pStyle w:val="Compact"/>
      </w:pPr>
      <w:r>
        <w:rPr>
          <w:bCs/>
          <w:b/>
        </w:rPr>
        <w:t xml:space="preserve">Evaluation Phase (Weeks 23-24):</w:t>
      </w:r>
      <w:r>
        <w:t xml:space="preserve"> </w:t>
      </w:r>
      <w:r>
        <w:t xml:space="preserve">Gather final data, conduct interviews with Marketing Managers, and analyze consumer feedback.</w:t>
      </w:r>
    </w:p>
    <w:bookmarkEnd w:id="25"/>
    <w:bookmarkEnd w:id="26"/>
    <w:bookmarkStart w:id="27" w:name="key-performance-indicators-kpis"/>
    <w:p>
      <w:pPr>
        <w:pStyle w:val="Heading2"/>
      </w:pPr>
      <w:r>
        <w:t xml:space="preserve">5. Key Performance Indicators (KPIs)</w:t>
      </w:r>
    </w:p>
    <w:p>
      <w:pPr>
        <w:pStyle w:val="FirstParagraph"/>
      </w:pPr>
      <w:r>
        <w:t xml:space="preserve">The success of the experiment will be measured using the following KPIs, tailored to the Mumbai market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Customer Acquisition Cost (CAC)</w:t>
            </w:r>
          </w:p>
        </w:tc>
        <w:tc>
          <w:tcPr/>
          <w:p>
            <w:pPr>
              <w:pStyle w:val="Compact"/>
              <w:jc w:val="left"/>
            </w:pPr>
            <w:r>
              <w:t xml:space="preserve">Cost to acquire a new customer in Mumbai</w:t>
            </w:r>
          </w:p>
        </w:tc>
        <w:tc>
          <w:tcPr/>
          <w:p>
            <w:pPr>
              <w:pStyle w:val="Compact"/>
              <w:jc w:val="left"/>
            </w:pPr>
            <w:r>
              <w:t xml:space="preserve">Reduce by 15% in Experimental Group</w:t>
            </w:r>
          </w:p>
        </w:tc>
      </w:tr>
      <w:tr>
        <w:tc>
          <w:tcPr/>
          <w:p>
            <w:pPr>
              <w:pStyle w:val="Compact"/>
              <w:jc w:val="left"/>
            </w:pPr>
            <w:r>
              <w:t xml:space="preserve">Engagement Rate</w:t>
            </w:r>
          </w:p>
        </w:tc>
        <w:tc>
          <w:tcPr/>
          <w:p>
            <w:pPr>
              <w:pStyle w:val="Compact"/>
              <w:jc w:val="left"/>
            </w:pPr>
            <w:r>
              <w:t xml:space="preserve">Interactions per post on social media platforms</w:t>
            </w:r>
          </w:p>
        </w:tc>
        <w:tc>
          <w:tcPr/>
          <w:p>
            <w:pPr>
              <w:pStyle w:val="Compact"/>
              <w:jc w:val="left"/>
            </w:pPr>
            <w:r>
              <w:t xml:space="preserve">Increase by 25% in Experimental Group</w:t>
            </w:r>
          </w:p>
        </w:tc>
      </w:tr>
      <w:tr>
        <w:tc>
          <w:tcPr/>
          <w:p>
            <w:pPr>
              <w:pStyle w:val="Compact"/>
              <w:jc w:val="left"/>
            </w:pPr>
            <w:r>
              <w:t xml:space="preserve">Brand Sentiment</w:t>
            </w:r>
          </w:p>
        </w:tc>
        <w:tc>
          <w:tcPr/>
          <w:p>
            <w:pPr>
              <w:pStyle w:val="Compact"/>
              <w:jc w:val="left"/>
            </w:pPr>
            <w:r>
              <w:t xml:space="preserve">Positive vs. negative mentions in local media and social channels</w:t>
            </w:r>
          </w:p>
        </w:tc>
        <w:tc>
          <w:tcPr/>
          <w:p>
            <w:pPr>
              <w:pStyle w:val="Compact"/>
              <w:jc w:val="left"/>
            </w:pPr>
            <w:r>
              <w:t xml:space="preserve">Improve by 20% in Experimental Group</w:t>
            </w:r>
          </w:p>
        </w:tc>
      </w:tr>
      <w:tr>
        <w:tc>
          <w:tcPr/>
          <w:p>
            <w:pPr>
              <w:pStyle w:val="Compact"/>
              <w:jc w:val="left"/>
            </w:pPr>
            <w:r>
              <w:t xml:space="preserve">ROI on Local Events</w:t>
            </w:r>
          </w:p>
        </w:tc>
        <w:tc>
          <w:tcPr/>
          <w:p>
            <w:pPr>
              <w:pStyle w:val="Compact"/>
              <w:jc w:val="left"/>
            </w:pPr>
            <w:r>
              <w:t xml:space="preserve">Return on investment for Mumbai-specific activations</w:t>
            </w:r>
          </w:p>
        </w:tc>
        <w:tc>
          <w:tcPr/>
          <w:p>
            <w:pPr>
              <w:pStyle w:val="Compact"/>
              <w:jc w:val="left"/>
            </w:pPr>
            <w:r>
              <w:t xml:space="preserve">Achieve minimum 3:1 ROI</w:t>
            </w:r>
          </w:p>
        </w:tc>
      </w:tr>
    </w:tbl>
    <w:bookmarkEnd w:id="27"/>
    <w:bookmarkStart w:id="28" w:name="ethical-considerations-and-compliance"/>
    <w:p>
      <w:pPr>
        <w:pStyle w:val="Heading2"/>
      </w:pPr>
      <w:r>
        <w:t xml:space="preserve">6. Ethical Considerations and Compliance</w:t>
      </w:r>
    </w:p>
    <w:p>
      <w:pPr>
        <w:pStyle w:val="FirstParagraph"/>
      </w:pPr>
      <w:r>
        <w:t xml:space="preserve">All activities conducted under this Experiment Protocol must adhere to Indian laws, including the Information Technology Act and consumer protection regulations. Data privacy will be strictly maintained in compliance with the Digital Personal Data Protection Act. Participants will provide informed consent, and all marketing communications will be transparent and non-deceptive. Special attention will be paid to cultural sensitivity to avoid misrepresentation of Mumbai’s diverse communities.</w:t>
      </w:r>
    </w:p>
    <w:bookmarkEnd w:id="28"/>
    <w:bookmarkStart w:id="29" w:name="risk-management"/>
    <w:p>
      <w:pPr>
        <w:pStyle w:val="Heading2"/>
      </w:pPr>
      <w:r>
        <w:t xml:space="preserve">7. Risk Management</w:t>
      </w:r>
    </w:p>
    <w:p>
      <w:pPr>
        <w:pStyle w:val="FirstParagraph"/>
      </w:pPr>
      <w:r>
        <w:t xml:space="preserve">Potential risks include market volatility, changes in digital platform algorithms, and resource constraints. Mitigation strategies include regular monitoring, flexible budget reallocation, and contingency planning. The Marketing Manager will be required to report any significant deviations from the protocol immediately.</w:t>
      </w:r>
    </w:p>
    <w:bookmarkEnd w:id="29"/>
    <w:bookmarkStart w:id="30" w:name="conclusion"/>
    <w:p>
      <w:pPr>
        <w:pStyle w:val="Heading2"/>
      </w:pPr>
      <w:r>
        <w:t xml:space="preserve">8. Conclusion</w:t>
      </w:r>
    </w:p>
    <w:p>
      <w:pPr>
        <w:pStyle w:val="FirstParagraph"/>
      </w:pPr>
      <w:r>
        <w:t xml:space="preserve">This Experiment Protocol provides a comprehensive framework for understanding and enhancing the role of the Marketing Manager in India Mumbai. By systematically testing localized strategies and measuring their impact, organizations can develop more effective marketing approaches that resonate with Mumbai’s unique consumer landscape. The insights gained from this experiment will contribute to broader best practices for marketing leadership in emerging markets.</w:t>
      </w:r>
    </w:p>
    <w:bookmarkEnd w:id="30"/>
    <w:p>
      <w:pPr>
        <w:pStyle w:val="BodyText"/>
      </w:pPr>
      <w:r>
        <w:rPr>
          <w:bCs/>
          <w:b/>
        </w:rPr>
        <w:t xml:space="preserve">Prepared by:</w:t>
      </w:r>
      <w:r>
        <w:t xml:space="preserve"> </w:t>
      </w:r>
      <w:r>
        <w:t xml:space="preserve">[Your Name/Organization]</w:t>
      </w:r>
    </w:p>
    <w:p>
      <w:pPr>
        <w:pStyle w:val="BodyText"/>
      </w:pPr>
      <w:r>
        <w:rPr>
          <w:bCs/>
          <w:b/>
        </w:rPr>
        <w:t xml:space="preserve">Approved by:</w:t>
      </w:r>
      <w:r>
        <w:t xml:space="preserve"> </w:t>
      </w:r>
      <w:r>
        <w:t xml:space="preserve">[Approver Name/Title]</w:t>
      </w:r>
    </w:p>
    <w:p>
      <w:pPr>
        <w:pStyle w:val="BodyText"/>
      </w:pPr>
      <w:r>
        <w:rPr>
          <w:bCs/>
          <w:b/>
        </w:rPr>
        <w:t xml:space="preserve">Date:</w:t>
      </w:r>
      <w:r>
        <w:t xml:space="preserve"> </w:t>
      </w:r>
      <w:r>
        <w:t xml:space="preserve">October 26,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India Mumbai</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