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Japan</w:t>
      </w:r>
      <w:r>
        <w:t xml:space="preserve"> </w:t>
      </w:r>
      <w:r>
        <w:t xml:space="preserve">Tokyo</w:t>
      </w:r>
    </w:p>
    <w:bookmarkStart w:id="33" w:name="Xe7de650d20608669b6fa04ee6ea223e12e6be04"/>
    <w:p>
      <w:pPr>
        <w:pStyle w:val="Heading1"/>
      </w:pPr>
      <w:r>
        <w:t xml:space="preserve">Experiment Protocol: Strategic Optimization of the Marketing Manager Role in Japan Tokyo</w:t>
      </w:r>
    </w:p>
    <w:p>
      <w:pPr>
        <w:pStyle w:val="FirstParagraph"/>
      </w:pPr>
      <w:r>
        <w:rPr>
          <w:bCs/>
          <w:b/>
        </w:rPr>
        <w:t xml:space="preserve">Protocol ID:</w:t>
      </w:r>
      <w:r>
        <w:t xml:space="preserve"> </w:t>
      </w:r>
      <w:r>
        <w:t xml:space="preserve">JP-TKY-MM-2024-001</w:t>
      </w:r>
      <w:r>
        <w:br/>
      </w:r>
      <w:r>
        <w:rPr>
          <w:bCs/>
          <w:b/>
        </w:rPr>
        <w:t xml:space="preserve">Location:</w:t>
      </w:r>
      <w:r>
        <w:t xml:space="preserve"> </w:t>
      </w:r>
      <w:r>
        <w:t xml:space="preserve">Japan Tokyo (Minato and Shibuya Districts)</w:t>
      </w:r>
      <w:r>
        <w:br/>
      </w:r>
      <w:r>
        <w:rPr>
          <w:bCs/>
          <w:b/>
        </w:rPr>
        <w:t xml:space="preserve">Target Role:</w:t>
      </w:r>
      <w:r>
        <w:t xml:space="preserve"> </w:t>
      </w:r>
      <w:r>
        <w:t xml:space="preserve">Marketing Manager</w:t>
      </w:r>
      <w:r>
        <w:br/>
      </w:r>
      <w:r>
        <w:rPr>
          <w:bCs/>
          <w:b/>
        </w:rPr>
        <w:t xml:space="preserve">Date of Issue:</w:t>
      </w:r>
      <w:r>
        <w:t xml:space="preserve"> </w:t>
      </w:r>
      <w:r>
        <w:t xml:space="preserve">October 2023</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and optimizing the operational framework of the</w:t>
      </w:r>
      <w:r>
        <w:t xml:space="preserve"> </w:t>
      </w:r>
      <w:r>
        <w:rPr>
          <w:bCs/>
          <w:b/>
        </w:rPr>
        <w:t xml:space="preserve">Marketing Manager</w:t>
      </w:r>
      <w:r>
        <w:t xml:space="preserve"> </w:t>
      </w:r>
      <w:r>
        <w:t xml:space="preserve">position within the competitive business landscape of</w:t>
      </w:r>
      <w:r>
        <w:t xml:space="preserve"> </w:t>
      </w:r>
      <w:r>
        <w:rPr>
          <w:bCs/>
          <w:b/>
        </w:rPr>
        <w:t xml:space="preserve">Japan Tokyo</w:t>
      </w:r>
      <w:r>
        <w:t xml:space="preserve">. Tokyo represents a unique convergence of hyper-advanced digital infrastructure and deeply rooted traditional business etiquette. Consequently, the role of a Marketing Manager here requires a nuanced balance between data-driven agility and relationship-based consensus building.</w:t>
      </w:r>
    </w:p>
    <w:p>
      <w:pPr>
        <w:pStyle w:val="BodyText"/>
      </w:pPr>
      <w:r>
        <w:t xml:space="preserve">The objective of this experiment is to test a new "Hybrid-Neomarketing" framework. This framework hypothesizes that by integrating localized cultural intelligence (such as</w:t>
      </w:r>
      <w:r>
        <w:t xml:space="preserve"> </w:t>
      </w:r>
      <w:r>
        <w:rPr>
          <w:iCs/>
          <w:i/>
        </w:rPr>
        <w:t xml:space="preserve">omotenashi</w:t>
      </w:r>
      <w:r>
        <w:t xml:space="preserve"> </w:t>
      </w:r>
      <w:r>
        <w:t xml:space="preserve">service principles) with aggressive digital performance marketing, a Marketing Manager can increase brand resonance by 25% while maintaining the high standards of corporate compliance expected in Japanese enterprises.</w:t>
      </w:r>
    </w:p>
    <w:bookmarkEnd w:id="20"/>
    <w:bookmarkStart w:id="21" w:name="objectives"/>
    <w:p>
      <w:pPr>
        <w:pStyle w:val="Heading2"/>
      </w:pPr>
      <w:r>
        <w:t xml:space="preserve">2. Objectives</w:t>
      </w:r>
    </w:p>
    <w:p>
      <w:pPr>
        <w:pStyle w:val="FirstParagraph"/>
      </w:pPr>
      <w:r>
        <w:t xml:space="preserve">The primary objectives of this protocol are as follows:</w:t>
      </w:r>
    </w:p>
    <w:p>
      <w:pPr>
        <w:numPr>
          <w:ilvl w:val="0"/>
          <w:numId w:val="1001"/>
        </w:numPr>
        <w:pStyle w:val="Compact"/>
      </w:pPr>
      <w:r>
        <w:t xml:space="preserve">To assess the efficacy of the Marketing Manager in navigating the dual-channel environment of Tokyo (physical retail density vs. LINE/SNS digital dominance).</w:t>
      </w:r>
    </w:p>
    <w:p>
      <w:pPr>
        <w:numPr>
          <w:ilvl w:val="0"/>
          <w:numId w:val="1001"/>
        </w:numPr>
        <w:pStyle w:val="Compact"/>
      </w:pPr>
      <w:r>
        <w:t xml:space="preserve">To measure the impact of culturally adapted communication strategies on stakeholder buy-in within Tokyo-based corporate headquarters.</w:t>
      </w:r>
    </w:p>
    <w:p>
      <w:pPr>
        <w:numPr>
          <w:ilvl w:val="0"/>
          <w:numId w:val="1001"/>
        </w:numPr>
        <w:pStyle w:val="Compact"/>
      </w:pPr>
      <w:r>
        <w:t xml:space="preserve">To determine the optimal resource allocation for a Marketing Manager operating in the high-cost, high-reward Tokyo market.</w:t>
      </w:r>
    </w:p>
    <w:p>
      <w:pPr>
        <w:numPr>
          <w:ilvl w:val="0"/>
          <w:numId w:val="1001"/>
        </w:numPr>
        <w:pStyle w:val="Compact"/>
      </w:pPr>
      <w:r>
        <w:t xml:space="preserve">To validate the hypothesis that localized content creation outperforms global standardization in the Tokyo metropolitan area.</w:t>
      </w:r>
    </w:p>
    <w:bookmarkEnd w:id="21"/>
    <w:bookmarkStart w:id="22" w:name="scope-and-context-japan-tokyo-specifics"/>
    <w:p>
      <w:pPr>
        <w:pStyle w:val="Heading2"/>
      </w:pPr>
      <w:r>
        <w:t xml:space="preserve">3. Scope and Context: Japan Tokyo Specifics</w:t>
      </w:r>
    </w:p>
    <w:p>
      <w:pPr>
        <w:pStyle w:val="FirstParagraph"/>
      </w:pPr>
      <w:r>
        <w:t xml:space="preserve">This experiment is strictly confined to the</w:t>
      </w:r>
      <w:r>
        <w:t xml:space="preserve"> </w:t>
      </w:r>
      <w:r>
        <w:rPr>
          <w:bCs/>
          <w:b/>
        </w:rPr>
        <w:t xml:space="preserve">Japan Tokyo</w:t>
      </w:r>
      <w:r>
        <w:t xml:space="preserve"> </w:t>
      </w:r>
      <w:r>
        <w:t xml:space="preserve">metropolitan area. The protocol acknowledges specific regional variables that must be controlled for:</w:t>
      </w:r>
    </w:p>
    <w:p>
      <w:pPr>
        <w:numPr>
          <w:ilvl w:val="0"/>
          <w:numId w:val="1002"/>
        </w:numPr>
        <w:pStyle w:val="Compact"/>
      </w:pPr>
      <w:r>
        <w:rPr>
          <w:bCs/>
          <w:b/>
        </w:rPr>
        <w:t xml:space="preserve">Digital Ecosystem:</w:t>
      </w:r>
      <w:r>
        <w:t xml:space="preserve"> </w:t>
      </w:r>
      <w:r>
        <w:t xml:space="preserve">The Marketing Manager must prioritize platforms dominant in Japan, specifically LINE, X (formerly Twitter), and Instagram, rather than Western-centric platforms like Facebook or LinkedIn for B2C campaigns.</w:t>
      </w:r>
    </w:p>
    <w:p>
      <w:pPr>
        <w:numPr>
          <w:ilvl w:val="0"/>
          <w:numId w:val="1002"/>
        </w:numPr>
        <w:pStyle w:val="Compact"/>
      </w:pPr>
      <w:r>
        <w:rPr>
          <w:bCs/>
          <w:b/>
        </w:rPr>
        <w:t xml:space="preserve">Seasonality:</w:t>
      </w:r>
      <w:r>
        <w:t xml:space="preserve"> </w:t>
      </w:r>
      <w:r>
        <w:t xml:space="preserve">Campaigns must align with the Japanese fiscal year (April–March) and cultural seasons (Sakura, Obon, Golden Week).</w:t>
      </w:r>
    </w:p>
    <w:p>
      <w:pPr>
        <w:numPr>
          <w:ilvl w:val="0"/>
          <w:numId w:val="1002"/>
        </w:numPr>
        <w:pStyle w:val="Compact"/>
      </w:pPr>
      <w:r>
        <w:rPr>
          <w:bCs/>
          <w:b/>
        </w:rPr>
        <w:t xml:space="preserve">Regulatory Environment:</w:t>
      </w:r>
      <w:r>
        <w:t xml:space="preserve"> </w:t>
      </w:r>
      <w:r>
        <w:t xml:space="preserve">Strict adherence to the Act on Specified Commercial Transactions and the Act on Protection of Personal Information (APPI) is mandatory for all experiments involving consumer data.</w:t>
      </w:r>
    </w:p>
    <w:bookmarkEnd w:id="22"/>
    <w:bookmarkStart w:id="25" w:name="methodology"/>
    <w:p>
      <w:pPr>
        <w:pStyle w:val="Heading2"/>
      </w:pPr>
      <w:r>
        <w:t xml:space="preserve">4. Methodology</w:t>
      </w:r>
    </w:p>
    <w:p>
      <w:pPr>
        <w:pStyle w:val="FirstParagraph"/>
      </w:pPr>
      <w:r>
        <w:t xml:space="preserve">The experiment will utilize a randomized controlled trial (RCT) approach, split into two distinct cohorts over a period of six months.</w:t>
      </w:r>
    </w:p>
    <w:bookmarkStart w:id="23" w:name="participant-selection"/>
    <w:p>
      <w:pPr>
        <w:pStyle w:val="Heading3"/>
      </w:pPr>
      <w:r>
        <w:t xml:space="preserve">4.1. Participant Selection</w:t>
      </w:r>
    </w:p>
    <w:p>
      <w:pPr>
        <w:pStyle w:val="FirstParagraph"/>
      </w:pPr>
      <w:r>
        <w:t xml:space="preserve">We will recruit 20 Marketing Managers currently operating in Tokyo. Participants will be screened based on:</w:t>
      </w:r>
    </w:p>
    <w:p>
      <w:pPr>
        <w:numPr>
          <w:ilvl w:val="0"/>
          <w:numId w:val="1003"/>
        </w:numPr>
        <w:pStyle w:val="Compact"/>
      </w:pPr>
      <w:r>
        <w:t xml:space="preserve">Minimum of 5 years experience in the Japanese market.</w:t>
      </w:r>
    </w:p>
    <w:p>
      <w:pPr>
        <w:numPr>
          <w:ilvl w:val="0"/>
          <w:numId w:val="1003"/>
        </w:numPr>
        <w:pStyle w:val="Compact"/>
      </w:pPr>
      <w:r>
        <w:t xml:space="preserve">Fluency in Japanese (Business level) and English.</w:t>
      </w:r>
    </w:p>
    <w:p>
      <w:pPr>
        <w:numPr>
          <w:ilvl w:val="0"/>
          <w:numId w:val="1003"/>
        </w:numPr>
        <w:pStyle w:val="Compact"/>
      </w:pPr>
      <w:r>
        <w:t xml:space="preserve">Current employment in mid-to-large sized corporations headquartered in Tokyo.</w:t>
      </w:r>
    </w:p>
    <w:bookmarkEnd w:id="23"/>
    <w:bookmarkStart w:id="24" w:name="experimental-groups"/>
    <w:p>
      <w:pPr>
        <w:pStyle w:val="Heading3"/>
      </w:pPr>
      <w:r>
        <w:t xml:space="preserve">4.2.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Strategy</w:t>
            </w:r>
          </w:p>
        </w:tc>
        <w:tc>
          <w:tcPr/>
          <w:p>
            <w:pPr>
              <w:pStyle w:val="Compact"/>
              <w:jc w:val="left"/>
            </w:pPr>
            <w:r>
              <w:t xml:space="preserve">Description</w:t>
            </w:r>
          </w:p>
        </w:tc>
      </w:tr>
      <w:tr>
        <w:tc>
          <w:tcPr/>
          <w:p>
            <w:pPr>
              <w:pStyle w:val="Compact"/>
              <w:jc w:val="left"/>
            </w:pPr>
            <w:r>
              <w:rPr>
                <w:bCs/>
                <w:b/>
              </w:rPr>
              <w:t xml:space="preserve">Control Group (A)</w:t>
            </w:r>
          </w:p>
        </w:tc>
        <w:tc>
          <w:tcPr/>
          <w:p>
            <w:pPr>
              <w:pStyle w:val="Compact"/>
              <w:jc w:val="left"/>
            </w:pPr>
            <w:r>
              <w:t xml:space="preserve">Standard Global Framework</w:t>
            </w:r>
          </w:p>
        </w:tc>
        <w:tc>
          <w:tcPr/>
          <w:p>
            <w:pPr>
              <w:pStyle w:val="Compact"/>
              <w:jc w:val="left"/>
            </w:pPr>
            <w:r>
              <w:t xml:space="preserve">Marketing Managers follow standard global corporate guidelines with minimal localization.</w:t>
            </w:r>
          </w:p>
        </w:tc>
      </w:tr>
      <w:tr>
        <w:tc>
          <w:tcPr/>
          <w:p>
            <w:pPr>
              <w:pStyle w:val="Compact"/>
              <w:jc w:val="left"/>
            </w:pPr>
            <w:r>
              <w:rPr>
                <w:bCs/>
                <w:b/>
              </w:rPr>
              <w:t xml:space="preserve">Experimental Group (B)</w:t>
            </w:r>
          </w:p>
        </w:tc>
        <w:tc>
          <w:tcPr/>
          <w:p>
            <w:pPr>
              <w:pStyle w:val="Compact"/>
              <w:jc w:val="left"/>
            </w:pPr>
            <w:r>
              <w:t xml:space="preserve">Tokyo-Adaptive Framework</w:t>
            </w:r>
          </w:p>
        </w:tc>
        <w:tc>
          <w:tcPr/>
          <w:p>
            <w:pPr>
              <w:pStyle w:val="Compact"/>
              <w:jc w:val="left"/>
            </w:pPr>
            <w:r>
              <w:t xml:space="preserve">Marketing Managers utilize the new protocol emphasizing local influencer partnerships, LINE OA integration, and consensus-driven internal reporting.</w:t>
            </w:r>
          </w:p>
        </w:tc>
      </w:tr>
    </w:tbl>
    <w:bookmarkEnd w:id="24"/>
    <w:bookmarkEnd w:id="25"/>
    <w:bookmarkStart w:id="29" w:name="procedures"/>
    <w:p>
      <w:pPr>
        <w:pStyle w:val="Heading2"/>
      </w:pPr>
      <w:r>
        <w:t xml:space="preserve">5. Procedures</w:t>
      </w:r>
    </w:p>
    <w:p>
      <w:pPr>
        <w:pStyle w:val="FirstParagraph"/>
      </w:pPr>
      <w:r>
        <w:t xml:space="preserve">The experiment will proceed in three phases:</w:t>
      </w:r>
    </w:p>
    <w:bookmarkStart w:id="26" w:name="phase-1-baseline-assessment-weeks-1-4"/>
    <w:p>
      <w:pPr>
        <w:pStyle w:val="Heading3"/>
      </w:pPr>
      <w:r>
        <w:t xml:space="preserve">Phase 1: Baseline Assessment (Weeks 1-4)</w:t>
      </w:r>
    </w:p>
    <w:p>
      <w:pPr>
        <w:pStyle w:val="FirstParagraph"/>
      </w:pPr>
      <w:r>
        <w:t xml:space="preserve">All Marketing Managers will undergo a skills audit focusing on their understanding of Tokyo consumer behavior. Baseline metrics for current campaign performance (CTR, Conversion Rate, Brand Sentiment) will be recorded.</w:t>
      </w:r>
    </w:p>
    <w:bookmarkEnd w:id="26"/>
    <w:bookmarkStart w:id="27" w:name="phase-2-intervention-weeks-5-20"/>
    <w:p>
      <w:pPr>
        <w:pStyle w:val="Heading3"/>
      </w:pPr>
      <w:r>
        <w:t xml:space="preserve">Phase 2: Intervention (Weeks 5-20)</w:t>
      </w:r>
    </w:p>
    <w:p>
      <w:pPr>
        <w:pStyle w:val="FirstParagraph"/>
      </w:pPr>
      <w:r>
        <w:t xml:space="preserve">Group B will implement the Tokyo-Adaptive Framework. Key interventions include:</w:t>
      </w:r>
    </w:p>
    <w:p>
      <w:pPr>
        <w:numPr>
          <w:ilvl w:val="0"/>
          <w:numId w:val="1004"/>
        </w:numPr>
        <w:pStyle w:val="Compact"/>
      </w:pPr>
      <w:r>
        <w:rPr>
          <w:bCs/>
          <w:b/>
        </w:rPr>
        <w:t xml:space="preserve">Micro-Influencer Integration:</w:t>
      </w:r>
      <w:r>
        <w:t xml:space="preserve"> </w:t>
      </w:r>
      <w:r>
        <w:t xml:space="preserve">Partnering with Tokyo-based "Key Opinion Consumers" rather than global celebrities.</w:t>
      </w:r>
    </w:p>
    <w:p>
      <w:pPr>
        <w:numPr>
          <w:ilvl w:val="0"/>
          <w:numId w:val="1004"/>
        </w:numPr>
        <w:pStyle w:val="Compact"/>
      </w:pPr>
      <w:r>
        <w:rPr>
          <w:bCs/>
          <w:b/>
        </w:rPr>
        <w:t xml:space="preserve">Hyper-Local SEO:</w:t>
      </w:r>
      <w:r>
        <w:t xml:space="preserve"> </w:t>
      </w:r>
      <w:r>
        <w:t xml:space="preserve">Optimizing for "Tokyo" and specific ward-based search queries.</w:t>
      </w:r>
    </w:p>
    <w:p>
      <w:pPr>
        <w:numPr>
          <w:ilvl w:val="0"/>
          <w:numId w:val="1004"/>
        </w:numPr>
        <w:pStyle w:val="Compact"/>
      </w:pPr>
      <w:r>
        <w:rPr>
          <w:bCs/>
          <w:b/>
        </w:rPr>
        <w:t xml:space="preserve">Internal Stakeholder Management:</w:t>
      </w:r>
      <w:r>
        <w:t xml:space="preserve"> </w:t>
      </w:r>
      <w:r>
        <w:t xml:space="preserve">Utilizing structured</w:t>
      </w:r>
      <w:r>
        <w:t xml:space="preserve"> </w:t>
      </w:r>
      <w:r>
        <w:rPr>
          <w:iCs/>
          <w:i/>
        </w:rPr>
        <w:t xml:space="preserve">ringi</w:t>
      </w:r>
      <w:r>
        <w:t xml:space="preserve"> </w:t>
      </w:r>
      <w:r>
        <w:t xml:space="preserve">(circulation of documents) processes to accelerate decision-making.</w:t>
      </w:r>
    </w:p>
    <w:bookmarkEnd w:id="27"/>
    <w:bookmarkStart w:id="28" w:name="Xfb784363e0903719968dbfb08a8ef07fa76f490"/>
    <w:p>
      <w:pPr>
        <w:pStyle w:val="Heading3"/>
      </w:pPr>
      <w:r>
        <w:t xml:space="preserve">Phase 3: Data Collection and Analysis (Weeks 21-24)</w:t>
      </w:r>
    </w:p>
    <w:p>
      <w:pPr>
        <w:pStyle w:val="FirstParagraph"/>
      </w:pPr>
      <w:r>
        <w:t xml:space="preserve">Post-intervention metrics will be collected. Qualitative interviews will be conducted with the Marketing Managers to assess workflow efficiency and cultural friction points.</w:t>
      </w:r>
    </w:p>
    <w:bookmarkEnd w:id="28"/>
    <w:bookmarkEnd w:id="29"/>
    <w:bookmarkStart w:id="30" w:name="key-performance-indicators-kpis"/>
    <w:p>
      <w:pPr>
        <w:pStyle w:val="Heading2"/>
      </w:pPr>
      <w:r>
        <w:t xml:space="preserve">6. Key Performance Indicators (KPIs)</w:t>
      </w:r>
    </w:p>
    <w:p>
      <w:pPr>
        <w:pStyle w:val="FirstParagraph"/>
      </w:pPr>
      <w:r>
        <w:t xml:space="preserve">Success will be measured against the following KPIs:</w:t>
      </w:r>
    </w:p>
    <w:p>
      <w:pPr>
        <w:numPr>
          <w:ilvl w:val="0"/>
          <w:numId w:val="1005"/>
        </w:numPr>
        <w:pStyle w:val="Compact"/>
      </w:pPr>
      <w:r>
        <w:rPr>
          <w:bCs/>
          <w:b/>
        </w:rPr>
        <w:t xml:space="preserve">Customer Acquisition Cost (CAC):</w:t>
      </w:r>
      <w:r>
        <w:t xml:space="preserve"> </w:t>
      </w:r>
      <w:r>
        <w:t xml:space="preserve">Target reduction of 15% in Group B.</w:t>
      </w:r>
    </w:p>
    <w:p>
      <w:pPr>
        <w:numPr>
          <w:ilvl w:val="0"/>
          <w:numId w:val="1005"/>
        </w:numPr>
        <w:pStyle w:val="Compact"/>
      </w:pPr>
      <w:r>
        <w:rPr>
          <w:bCs/>
          <w:b/>
        </w:rPr>
        <w:t xml:space="preserve">Engagement Rate on LINE:</w:t>
      </w:r>
      <w:r>
        <w:t xml:space="preserve"> </w:t>
      </w:r>
      <w:r>
        <w:t xml:space="preserve">Target increase of 30% in open rates.</w:t>
      </w:r>
    </w:p>
    <w:p>
      <w:pPr>
        <w:numPr>
          <w:ilvl w:val="0"/>
          <w:numId w:val="1005"/>
        </w:numPr>
        <w:pStyle w:val="Compact"/>
      </w:pPr>
      <w:r>
        <w:rPr>
          <w:bCs/>
          <w:b/>
        </w:rPr>
        <w:t xml:space="preserve">Internal Approval Time:</w:t>
      </w:r>
      <w:r>
        <w:t xml:space="preserve"> </w:t>
      </w:r>
      <w:r>
        <w:t xml:space="preserve">Reduction in time taken to approve marketing assets by senior management.</w:t>
      </w:r>
    </w:p>
    <w:p>
      <w:pPr>
        <w:numPr>
          <w:ilvl w:val="0"/>
          <w:numId w:val="1005"/>
        </w:numPr>
        <w:pStyle w:val="Compact"/>
      </w:pPr>
      <w:r>
        <w:rPr>
          <w:bCs/>
          <w:b/>
        </w:rPr>
        <w:t xml:space="preserve">Brand Sentiment Score:</w:t>
      </w:r>
      <w:r>
        <w:t xml:space="preserve"> </w:t>
      </w:r>
      <w:r>
        <w:t xml:space="preserve">Measured via social listening tools specific to the Japanese language.</w:t>
      </w:r>
    </w:p>
    <w:bookmarkEnd w:id="30"/>
    <w:bookmarkStart w:id="31" w:name="ethical-considerations-and-compliance"/>
    <w:p>
      <w:pPr>
        <w:pStyle w:val="Heading2"/>
      </w:pPr>
      <w:r>
        <w:t xml:space="preserve">7. Ethical Considerations and Compliance</w:t>
      </w:r>
    </w:p>
    <w:p>
      <w:pPr>
        <w:pStyle w:val="FirstParagraph"/>
      </w:pPr>
      <w:r>
        <w:t xml:space="preserve">Given the strict privacy laws in</w:t>
      </w:r>
      <w:r>
        <w:t xml:space="preserve"> </w:t>
      </w:r>
      <w:r>
        <w:rPr>
          <w:bCs/>
          <w:b/>
        </w:rPr>
        <w:t xml:space="preserve">Japan Tokyo</w:t>
      </w:r>
      <w:r>
        <w:t xml:space="preserve">, this protocol mandates rigorous data protection. All consumer data used in the experiment must be anonymized in accordance with the APPI. Furthermore, the experiment respects the professional hierarchy of Japanese corporate culture; no Marketing Manager will be forced to bypass established chain-of-command protocols during the testing phase.</w:t>
      </w:r>
    </w:p>
    <w:bookmarkEnd w:id="31"/>
    <w:bookmarkStart w:id="32" w:name="conclusion"/>
    <w:p>
      <w:pPr>
        <w:pStyle w:val="Heading2"/>
      </w:pPr>
      <w:r>
        <w:t xml:space="preserve">8. Conclusion</w:t>
      </w:r>
    </w:p>
    <w:p>
      <w:pPr>
        <w:pStyle w:val="FirstParagraph"/>
      </w:pPr>
      <w:r>
        <w:t xml:space="preserve">This Experiment Protocol provides a structured approach to redefining the</w:t>
      </w:r>
      <w:r>
        <w:t xml:space="preserve"> </w:t>
      </w:r>
      <w:r>
        <w:rPr>
          <w:bCs/>
          <w:b/>
        </w:rPr>
        <w:t xml:space="preserve">Marketing Manager</w:t>
      </w:r>
      <w:r>
        <w:t xml:space="preserve"> </w:t>
      </w:r>
      <w:r>
        <w:t xml:space="preserve">role for the specific demands of</w:t>
      </w:r>
      <w:r>
        <w:t xml:space="preserve"> </w:t>
      </w:r>
      <w:r>
        <w:rPr>
          <w:bCs/>
          <w:b/>
        </w:rPr>
        <w:t xml:space="preserve">Japan Tokyo</w:t>
      </w:r>
      <w:r>
        <w:t xml:space="preserve">. By isolating cultural and technological variables, we aim to produce a replicable model for marketing excellence in one of the world's most sophisticated markets. The insights gained will contribute significantly to the understanding of how global marketing strategies must be localized to succeed in the Tokyo metropolitan area.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Japan Tokyo</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