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707278bf988a42aa3baa34aefcc43d60c1ef08a"/>
    <w:p>
      <w:pPr>
        <w:pStyle w:val="Heading1"/>
      </w:pPr>
      <w:r>
        <w:t xml:space="preserve">Experiment Protocol: Strategic Marketing Manager Efficacy in Malaysia Kuala Lumpur</w:t>
      </w:r>
    </w:p>
    <w:p>
      <w:pPr>
        <w:pStyle w:val="FirstParagraph"/>
      </w:pPr>
      <w:r>
        <w:rPr>
          <w:bCs/>
          <w:b/>
        </w:rPr>
        <w:t xml:space="preserve">Protocol ID:</w:t>
      </w:r>
      <w:r>
        <w:t xml:space="preserve"> </w:t>
      </w:r>
      <w:r>
        <w:t xml:space="preserve">KL-MKT-EXP-2024-001</w:t>
      </w:r>
    </w:p>
    <w:p>
      <w:pPr>
        <w:pStyle w:val="BodyText"/>
      </w:pPr>
      <w:r>
        <w:rPr>
          <w:bCs/>
          <w:b/>
        </w:rPr>
        <w:t xml:space="preserve">Location:</w:t>
      </w:r>
      <w:r>
        <w:t xml:space="preserve"> </w:t>
      </w:r>
      <w:r>
        <w:t xml:space="preserve">Malaysia Kuala Lumpur (Federal Territory)</w:t>
      </w:r>
    </w:p>
    <w:p>
      <w:pPr>
        <w:pStyle w:val="BodyText"/>
      </w:pPr>
      <w:r>
        <w:rPr>
          <w:bCs/>
          <w:b/>
        </w:rPr>
        <w:t xml:space="preserve">Subject Role:</w:t>
      </w:r>
      <w:r>
        <w:t xml:space="preserve"> </w:t>
      </w:r>
      <w:r>
        <w:t xml:space="preserve">Marketing Manager</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dynamic business landscape of Malaysia Kuala Lumpur presents unique challenges and opportunities for corporate growth. As the economic hub of the nation, Kuala Lumpur is characterized by a highly digital-savvy population, a multicultural demographic, and intense market competition. To navigate this environment effectively, organizations rely heavily on the strategic capabilities of the Marketing Manager.</w:t>
      </w:r>
    </w:p>
    <w:p>
      <w:pPr>
        <w:pStyle w:val="BodyText"/>
      </w:pPr>
      <w:r>
        <w:t xml:space="preserve">This Experiment Protocol is designed to rigorously evaluate the impact of specific marketing strategies implemented by a Marketing Manager within the Kuala Lumpur market. The objective is to determine which tactical approaches yield the highest Return on Investment (ROI) and brand engagement among local consumers. This document serves as the governing framework for the experiment, ensuring scientific validity, ethical compliance, and operational clarity.</w:t>
      </w:r>
    </w:p>
    <w:bookmarkEnd w:id="20"/>
    <w:bookmarkStart w:id="21" w:name="objectives"/>
    <w:p>
      <w:pPr>
        <w:pStyle w:val="Heading2"/>
      </w:pPr>
      <w:r>
        <w:t xml:space="preserve">2. Objectives</w:t>
      </w:r>
    </w:p>
    <w:p>
      <w:pPr>
        <w:pStyle w:val="FirstParagraph"/>
      </w:pPr>
      <w:r>
        <w:t xml:space="preserve">The primary objective of this experiment is to measure the performance variance of a Marketing Manager when deploying different digital and traditional marketing mixes in Malaysia Kuala Lumpur. Specific goals include:</w:t>
      </w:r>
    </w:p>
    <w:p>
      <w:pPr>
        <w:numPr>
          <w:ilvl w:val="0"/>
          <w:numId w:val="1001"/>
        </w:numPr>
        <w:pStyle w:val="Compact"/>
      </w:pPr>
      <w:r>
        <w:t xml:space="preserve">To assess the effectiveness of localized content strategies tailored to the multicultural demographics of Kuala Lumpur.</w:t>
      </w:r>
    </w:p>
    <w:p>
      <w:pPr>
        <w:numPr>
          <w:ilvl w:val="0"/>
          <w:numId w:val="1001"/>
        </w:numPr>
        <w:pStyle w:val="Compact"/>
      </w:pPr>
      <w:r>
        <w:t xml:space="preserve">To evaluate the Marketing Manager's ability to leverage local social media platforms (e.g., TikTok, WhatsApp, Instagram) prevalent in Malaysia.</w:t>
      </w:r>
    </w:p>
    <w:p>
      <w:pPr>
        <w:numPr>
          <w:ilvl w:val="0"/>
          <w:numId w:val="1001"/>
        </w:numPr>
        <w:pStyle w:val="Compact"/>
      </w:pPr>
      <w:r>
        <w:t xml:space="preserve">To quantify the impact of the Marketing Manager's decisions on customer acquisition costs (CAC) and lifetime value (CLV) within the Kuala Lumpur region.</w:t>
      </w:r>
    </w:p>
    <w:p>
      <w:pPr>
        <w:numPr>
          <w:ilvl w:val="0"/>
          <w:numId w:val="1001"/>
        </w:numPr>
        <w:pStyle w:val="Compact"/>
      </w:pPr>
      <w:r>
        <w:t xml:space="preserve">To identify the most effective communication channels for reaching urban professionals and Gen Z consumers in the Klang Valley.</w:t>
      </w:r>
    </w:p>
    <w:bookmarkEnd w:id="21"/>
    <w:bookmarkStart w:id="24"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experiment will utilize a Randomized Controlled Trial (RCT) design. The target market in Malaysia Kuala Lumpur will be segmented into three distinct groups. Each group will be exposed to a different marketing strategy overseen by the Marketing Manager.</w:t>
      </w:r>
    </w:p>
    <w:p>
      <w:pPr>
        <w:numPr>
          <w:ilvl w:val="0"/>
          <w:numId w:val="1002"/>
        </w:numPr>
        <w:pStyle w:val="Compact"/>
      </w:pPr>
      <w:r>
        <w:rPr>
          <w:bCs/>
          <w:b/>
        </w:rPr>
        <w:t xml:space="preserve">Group A (Control):</w:t>
      </w:r>
      <w:r>
        <w:t xml:space="preserve"> </w:t>
      </w:r>
      <w:r>
        <w:t xml:space="preserve">Standard industry marketing practices.</w:t>
      </w:r>
    </w:p>
    <w:p>
      <w:pPr>
        <w:numPr>
          <w:ilvl w:val="0"/>
          <w:numId w:val="1002"/>
        </w:numPr>
        <w:pStyle w:val="Compact"/>
      </w:pPr>
      <w:r>
        <w:rPr>
          <w:bCs/>
          <w:b/>
        </w:rPr>
        <w:t xml:space="preserve">Group B (Variable 1):</w:t>
      </w:r>
      <w:r>
        <w:t xml:space="preserve"> </w:t>
      </w:r>
      <w:r>
        <w:t xml:space="preserve">Hyper-localized influencer marketing campaigns focusing on Kuala Lumpur lifestyle hubs.</w:t>
      </w:r>
    </w:p>
    <w:p>
      <w:pPr>
        <w:numPr>
          <w:ilvl w:val="0"/>
          <w:numId w:val="1002"/>
        </w:numPr>
        <w:pStyle w:val="Compact"/>
      </w:pPr>
      <w:r>
        <w:rPr>
          <w:bCs/>
          <w:b/>
        </w:rPr>
        <w:t xml:space="preserve">Group C (Variable 2):</w:t>
      </w:r>
      <w:r>
        <w:t xml:space="preserve"> </w:t>
      </w:r>
      <w:r>
        <w:t xml:space="preserve">Data-driven programmatic advertising with culturally nuanced messaging.</w:t>
      </w:r>
    </w:p>
    <w:bookmarkEnd w:id="22"/>
    <w:bookmarkStart w:id="23" w:name="role-of-the-marketing-manager"/>
    <w:p>
      <w:pPr>
        <w:pStyle w:val="Heading3"/>
      </w:pPr>
      <w:r>
        <w:t xml:space="preserve">3.2 Role of the Marketing Manager</w:t>
      </w:r>
    </w:p>
    <w:p>
      <w:pPr>
        <w:pStyle w:val="FirstParagraph"/>
      </w:pPr>
      <w:r>
        <w:t xml:space="preserve">The Marketing Manager is the central agent of this experiment. Their responsibilities include:</w:t>
      </w:r>
    </w:p>
    <w:p>
      <w:pPr>
        <w:numPr>
          <w:ilvl w:val="0"/>
          <w:numId w:val="1003"/>
        </w:numPr>
        <w:pStyle w:val="Compact"/>
      </w:pPr>
      <w:r>
        <w:t xml:space="preserve">Developing campaign assets that resonate with the specific cultural context of Malaysia Kuala Lumpur.</w:t>
      </w:r>
    </w:p>
    <w:p>
      <w:pPr>
        <w:numPr>
          <w:ilvl w:val="0"/>
          <w:numId w:val="1003"/>
        </w:numPr>
        <w:pStyle w:val="Compact"/>
      </w:pPr>
      <w:r>
        <w:t xml:space="preserve">Allocating budget across channels based on real-time performance data.</w:t>
      </w:r>
    </w:p>
    <w:p>
      <w:pPr>
        <w:numPr>
          <w:ilvl w:val="0"/>
          <w:numId w:val="1003"/>
        </w:numPr>
        <w:pStyle w:val="Compact"/>
      </w:pPr>
      <w:r>
        <w:t xml:space="preserve">Collaborating with local vendors and agencies in the Klang Valley.</w:t>
      </w:r>
    </w:p>
    <w:p>
      <w:pPr>
        <w:numPr>
          <w:ilvl w:val="0"/>
          <w:numId w:val="1003"/>
        </w:numPr>
        <w:pStyle w:val="Compact"/>
      </w:pPr>
      <w:r>
        <w:t xml:space="preserve">Ensuring all marketing materials comply with Malaysian advertising standards and regulations.</w:t>
      </w:r>
    </w:p>
    <w:bookmarkEnd w:id="23"/>
    <w:bookmarkEnd w:id="24"/>
    <w:bookmarkStart w:id="25" w:name="target-audience-and-location-specifics"/>
    <w:p>
      <w:pPr>
        <w:pStyle w:val="Heading2"/>
      </w:pPr>
      <w:r>
        <w:t xml:space="preserve">4. Target Audience and Location Specifics</w:t>
      </w:r>
    </w:p>
    <w:p>
      <w:pPr>
        <w:pStyle w:val="FirstParagraph"/>
      </w:pPr>
      <w:r>
        <w:t xml:space="preserve">The experiment is strictly confined to the geographical and demographic boundaries of Malaysia Kuala Lumpur. The target audience comprises residents aged 18 to 45, segmented by income level and digital behavior.</w:t>
      </w:r>
    </w:p>
    <w:p>
      <w:pPr>
        <w:pStyle w:val="BodyText"/>
      </w:pPr>
      <w:r>
        <w:t xml:space="preserve">Special consideration is given to the linguistic diversity of Kuala Lumpur. The Marketing Manager must ensure that campaigns are adaptable across Bahasa Malaysia, English, Mandarin, and Tamil, reflecting the multicultural fabric of the city. The experiment will also account for local events, such as Hari Raya Aidilfitri, Chinese New Year, and Deepavali, which significantly influence consumer behavior in Malaysia.</w:t>
      </w:r>
    </w:p>
    <w:bookmarkEnd w:id="25"/>
    <w:bookmarkStart w:id="26" w:name="data-collection-and-metrics"/>
    <w:p>
      <w:pPr>
        <w:pStyle w:val="Heading2"/>
      </w:pPr>
      <w:r>
        <w:t xml:space="preserve">5. Data Collection and Metrics</w:t>
      </w:r>
    </w:p>
    <w:p>
      <w:pPr>
        <w:pStyle w:val="FirstParagraph"/>
      </w:pPr>
      <w:r>
        <w:t xml:space="preserve">Data will be collected over a period of 12 weeks. Key Performance Indicators (KPIs) will be tracked using advanced analytics tools.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Kuala Lumpur Market</w:t>
            </w:r>
          </w:p>
        </w:tc>
      </w:tr>
      <w:tr>
        <w:tc>
          <w:tcPr/>
          <w:p>
            <w:pPr>
              <w:pStyle w:val="Compact"/>
              <w:jc w:val="left"/>
            </w:pPr>
            <w:r>
              <w:t xml:space="preserve">Conversion Rate</w:t>
            </w:r>
          </w:p>
        </w:tc>
        <w:tc>
          <w:tcPr/>
          <w:p>
            <w:pPr>
              <w:pStyle w:val="Compact"/>
              <w:jc w:val="left"/>
            </w:pPr>
            <w:r>
              <w:t xml:space="preserve">Percentage of users completing a desired action.</w:t>
            </w:r>
          </w:p>
        </w:tc>
        <w:tc>
          <w:tcPr/>
          <w:p>
            <w:pPr>
              <w:pStyle w:val="Compact"/>
              <w:jc w:val="left"/>
            </w:pPr>
            <w:r>
              <w:t xml:space="preserve">Measures effectiveness of calls-to-action in a high-mobility market.</w:t>
            </w:r>
          </w:p>
        </w:tc>
      </w:tr>
      <w:tr>
        <w:tc>
          <w:tcPr/>
          <w:p>
            <w:pPr>
              <w:pStyle w:val="Compact"/>
              <w:jc w:val="left"/>
            </w:pPr>
            <w:r>
              <w:t xml:space="preserve">Engagement Rate</w:t>
            </w:r>
          </w:p>
        </w:tc>
        <w:tc>
          <w:tcPr/>
          <w:p>
            <w:pPr>
              <w:pStyle w:val="Compact"/>
              <w:jc w:val="left"/>
            </w:pPr>
            <w:r>
              <w:t xml:space="preserve">Likes, shares, comments, and saves on social platforms.</w:t>
            </w:r>
          </w:p>
        </w:tc>
        <w:tc>
          <w:tcPr/>
          <w:p>
            <w:pPr>
              <w:pStyle w:val="Compact"/>
              <w:jc w:val="left"/>
            </w:pPr>
            <w:r>
              <w:t xml:space="preserve">Crucial for assessing resonance with KL's social media-heavy population.</w:t>
            </w:r>
          </w:p>
        </w:tc>
      </w:tr>
      <w:tr>
        <w:tc>
          <w:tcPr/>
          <w:p>
            <w:pPr>
              <w:pStyle w:val="Compact"/>
              <w:jc w:val="left"/>
            </w:pPr>
            <w:r>
              <w:t xml:space="preserve">Customer Acquisition Cost (CAC)</w:t>
            </w:r>
          </w:p>
        </w:tc>
        <w:tc>
          <w:tcPr/>
          <w:p>
            <w:pPr>
              <w:pStyle w:val="Compact"/>
              <w:jc w:val="left"/>
            </w:pPr>
            <w:r>
              <w:t xml:space="preserve">Total spend divided by new customers acquired.</w:t>
            </w:r>
          </w:p>
        </w:tc>
        <w:tc>
          <w:tcPr/>
          <w:p>
            <w:pPr>
              <w:pStyle w:val="Compact"/>
              <w:jc w:val="left"/>
            </w:pPr>
            <w:r>
              <w:t xml:space="preserve">Helps determine cost-efficiency in a competitive urban environment.</w:t>
            </w:r>
          </w:p>
        </w:tc>
      </w:tr>
      <w:tr>
        <w:tc>
          <w:tcPr/>
          <w:p>
            <w:pPr>
              <w:pStyle w:val="Compact"/>
              <w:jc w:val="left"/>
            </w:pPr>
            <w:r>
              <w:t xml:space="preserve">Brand Sentiment</w:t>
            </w:r>
          </w:p>
        </w:tc>
        <w:tc>
          <w:tcPr/>
          <w:p>
            <w:pPr>
              <w:pStyle w:val="Compact"/>
              <w:jc w:val="left"/>
            </w:pPr>
            <w:r>
              <w:t xml:space="preserve">Qualitative analysis of public perception.</w:t>
            </w:r>
          </w:p>
        </w:tc>
        <w:tc>
          <w:tcPr/>
          <w:p>
            <w:pPr>
              <w:pStyle w:val="Compact"/>
              <w:jc w:val="left"/>
            </w:pPr>
            <w:r>
              <w:t xml:space="preserve">Ensures cultural sensitivity and brand reputation in Malaysia.</w:t>
            </w:r>
          </w:p>
        </w:tc>
      </w:tr>
    </w:tbl>
    <w:bookmarkEnd w:id="26"/>
    <w:bookmarkStart w:id="27" w:name="ethical-considerations-and-compliance"/>
    <w:p>
      <w:pPr>
        <w:pStyle w:val="Heading2"/>
      </w:pPr>
      <w:r>
        <w:t xml:space="preserve">6. Ethical Considerations and Compliance</w:t>
      </w:r>
    </w:p>
    <w:p>
      <w:pPr>
        <w:pStyle w:val="FirstParagraph"/>
      </w:pPr>
      <w:r>
        <w:t xml:space="preserve">This Experiment Protocol adheres to the Personal Data Protection Act (PDPA) of Malaysia. All data collected from participants in Kuala Lumpur will be anonymized and stored securely. The Marketing Manager must ensure that no deceptive practices are used and that all consumer data is handled with the utmost integrity. Informed consent will be obtained where necessary, particularly for direct engagement campaigns.</w:t>
      </w:r>
    </w:p>
    <w:bookmarkEnd w:id="27"/>
    <w:bookmarkStart w:id="28" w:name="risk-management"/>
    <w:p>
      <w:pPr>
        <w:pStyle w:val="Heading2"/>
      </w:pPr>
      <w:r>
        <w:t xml:space="preserve">7. Risk Management</w:t>
      </w:r>
    </w:p>
    <w:p>
      <w:pPr>
        <w:pStyle w:val="FirstParagraph"/>
      </w:pPr>
      <w:r>
        <w:t xml:space="preserve">Potential risks include market saturation, negative public sentiment due to cultural missteps, and technical failures in ad delivery. The Marketing Manager is required to implement a crisis communication plan specific to the Malaysian context. Regular monitoring of social media sentiment in Kuala Lumpur will allow for rapid response to any adverse feedback.</w:t>
      </w:r>
    </w:p>
    <w:bookmarkEnd w:id="28"/>
    <w:bookmarkStart w:id="29" w:name="conclusion-and-reporting"/>
    <w:p>
      <w:pPr>
        <w:pStyle w:val="Heading2"/>
      </w:pPr>
      <w:r>
        <w:t xml:space="preserve">8. Conclusion and Reporting</w:t>
      </w:r>
    </w:p>
    <w:p>
      <w:pPr>
        <w:pStyle w:val="FirstParagraph"/>
      </w:pPr>
      <w:r>
        <w:t xml:space="preserve">Upon completion of the 12-week period, a comprehensive report will be generated. This report will detail the findings of the experiment, highlighting the most effective strategies employed by the Marketing Manager in the Malaysia Kuala Lumpur market. The insights gained will inform future marketing strategies, ensuring that the organization remains competitive and culturally attuned in one of Southeast Asia's most vibrant economic centers.</w:t>
      </w:r>
    </w:p>
    <w:p>
      <w:pPr>
        <w:pStyle w:val="BodyText"/>
      </w:pPr>
      <w:r>
        <w:rPr>
          <w:bCs/>
          <w:b/>
        </w:rPr>
        <w:t xml:space="preserve">Approval:</w:t>
      </w:r>
    </w:p>
    <w:p>
      <w:pPr>
        <w:pStyle w:val="BodyText"/>
      </w:pPr>
      <w:r>
        <w:t xml:space="preserve">_________________________</w:t>
      </w:r>
      <w:r>
        <w:br/>
      </w:r>
      <w:r>
        <w:t xml:space="preserve">Chief Marketing Officer</w:t>
      </w:r>
    </w:p>
    <w:p>
      <w:pPr>
        <w:pStyle w:val="BodyText"/>
      </w:pPr>
      <w:r>
        <w:t xml:space="preserve">_________________________</w:t>
      </w:r>
      <w:r>
        <w:br/>
      </w:r>
      <w:r>
        <w:t xml:space="preserve">Head of Research &amp; Development</w:t>
      </w:r>
    </w:p>
    <w:p>
      <w:pPr>
        <w:pStyle w:val="BodyText"/>
      </w:pPr>
      <w:r>
        <w:rPr>
          <w:iCs/>
          <w:i/>
        </w:rPr>
        <w:t xml:space="preserve">Document Classification: Confidential -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Malaysia Kuala Lumpur</dc:title>
  <dc:creator/>
  <dc:language>en</dc:language>
  <cp:keywords/>
  <dcterms:created xsi:type="dcterms:W3CDTF">2026-10-10T08:37:56Z</dcterms:created>
  <dcterms:modified xsi:type="dcterms:W3CDTF">2026-10-10T08:37:56Z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