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Pakistan</w:t>
      </w:r>
      <w:r>
        <w:t xml:space="preserve"> </w:t>
      </w:r>
      <w:r>
        <w:t xml:space="preserve">Islamabad</w:t>
      </w:r>
    </w:p>
    <w:bookmarkStart w:id="32" w:name="Xa6db6794fae0b39f0d71d804d65de49b4ff680f"/>
    <w:p>
      <w:pPr>
        <w:pStyle w:val="Heading1"/>
      </w:pPr>
      <w:r>
        <w:t xml:space="preserve">Experiment Protocol: Marketing Manager Performance Optimization in Pakistan Islamabad</w:t>
      </w:r>
    </w:p>
    <w:bookmarkStart w:id="20" w:name="introduction-and-background"/>
    <w:p>
      <w:pPr>
        <w:pStyle w:val="Heading2"/>
      </w:pPr>
      <w:r>
        <w:t xml:space="preserve">1. Introduction and Background</w:t>
      </w:r>
    </w:p>
    <w:p>
      <w:pPr>
        <w:pStyle w:val="FirstParagraph"/>
      </w:pPr>
      <w:r>
        <w:t xml:space="preserve">This</w:t>
      </w:r>
      <w:r>
        <w:t xml:space="preserve"> </w:t>
      </w:r>
      <w:r>
        <w:rPr>
          <w:bCs/>
          <w:b/>
        </w:rPr>
        <w:t xml:space="preserve">Experiment Protocol</w:t>
      </w:r>
      <w:r>
        <w:t xml:space="preserve"> </w:t>
      </w:r>
      <w:r>
        <w:t xml:space="preserve">outlines the structured methodology for evaluating the effectiveness of a</w:t>
      </w:r>
      <w:r>
        <w:t xml:space="preserve"> </w:t>
      </w:r>
      <w:r>
        <w:rPr>
          <w:bCs/>
          <w:b/>
        </w:rPr>
        <w:t xml:space="preserve">Marketing Manager</w:t>
      </w:r>
      <w:r>
        <w:t xml:space="preserve"> </w:t>
      </w:r>
      <w:r>
        <w:t xml:space="preserve">operating within the dynamic commercial landscape of</w:t>
      </w:r>
      <w:r>
        <w:t xml:space="preserve"> </w:t>
      </w:r>
      <w:r>
        <w:rPr>
          <w:bCs/>
          <w:b/>
        </w:rPr>
        <w:t xml:space="preserve">Pakistan Islamabad</w:t>
      </w:r>
      <w:r>
        <w:t xml:space="preserve">. The capital city presents a unique market environment characterized by a high concentration of government institutions, multinational corporations, diplomatic missions, and a rapidly growing tech-savvy middle class.</w:t>
      </w:r>
    </w:p>
    <w:p>
      <w:pPr>
        <w:pStyle w:val="BodyText"/>
      </w:pPr>
      <w:r>
        <w:t xml:space="preserve">The primary objective of this experiment is to determine which marketing strategies yield the highest return on investment (ROI) and brand engagement when executed by a Marketing Manager in this specific geographic and cultural context. By isolating variables such as digital channel usage, cultural messaging, and local partnership models, this protocol aims to generate actionable data for optimizing marketing operations in Islamabad.</w:t>
      </w:r>
    </w:p>
    <w:bookmarkEnd w:id="20"/>
    <w:bookmarkStart w:id="21"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assess the impact of localized Urdu and English bilingual campaigns on consumer engagement in Islamabad.</w:t>
      </w:r>
    </w:p>
    <w:p>
      <w:pPr>
        <w:numPr>
          <w:ilvl w:val="0"/>
          <w:numId w:val="1001"/>
        </w:numPr>
        <w:pStyle w:val="Compact"/>
      </w:pPr>
      <w:r>
        <w:t xml:space="preserve">To evaluate the performance of the Marketing Manager in leveraging social media platforms popular in Pakistan (e.g., Facebook, Instagram, TikTok) versus traditional media.</w:t>
      </w:r>
    </w:p>
    <w:p>
      <w:pPr>
        <w:numPr>
          <w:ilvl w:val="0"/>
          <w:numId w:val="1001"/>
        </w:numPr>
        <w:pStyle w:val="Compact"/>
      </w:pPr>
      <w:r>
        <w:t xml:space="preserve">To measure the effectiveness of influencer marketing within Islamabad’s elite and middle-class demographics.</w:t>
      </w:r>
    </w:p>
    <w:p>
      <w:pPr>
        <w:numPr>
          <w:ilvl w:val="0"/>
          <w:numId w:val="1001"/>
        </w:numPr>
        <w:pStyle w:val="Compact"/>
      </w:pPr>
      <w:r>
        <w:t xml:space="preserve">To determine the optimal budget allocation for digital versus offline marketing activities in the Islamabad region.</w:t>
      </w:r>
    </w:p>
    <w:bookmarkEnd w:id="21"/>
    <w:bookmarkStart w:id="22" w:name="hypothesis"/>
    <w:p>
      <w:pPr>
        <w:pStyle w:val="Heading2"/>
      </w:pPr>
      <w:r>
        <w:t xml:space="preserve">3. Hypothesis</w:t>
      </w:r>
    </w:p>
    <w:p>
      <w:pPr>
        <w:pStyle w:val="FirstParagraph"/>
      </w:pPr>
      <w:r>
        <w:rPr>
          <w:bCs/>
          <w:b/>
        </w:rPr>
        <w:t xml:space="preserve">Primary Hypothesis:</w:t>
      </w:r>
      <w:r>
        <w:t xml:space="preserve"> </w:t>
      </w:r>
      <w:r>
        <w:t xml:space="preserve">A Marketing Manager in Pakistan Islamabad who integrates hyper-localized content (referencing local landmarks like Faisal Mosque, Blue Area, or DHA) with bilingual communication will achieve a 25% higher conversion rate compared to generic national campaigns.</w:t>
      </w:r>
    </w:p>
    <w:p>
      <w:pPr>
        <w:pStyle w:val="BodyText"/>
      </w:pPr>
      <w:r>
        <w:rPr>
          <w:bCs/>
          <w:b/>
        </w:rPr>
        <w:t xml:space="preserve">Secondary Hypothesis:</w:t>
      </w:r>
      <w:r>
        <w:t xml:space="preserve"> </w:t>
      </w:r>
      <w:r>
        <w:t xml:space="preserve">Collaborations with micro-influencers based in Islamabad will generate higher trust and engagement metrics than macro-influencers based in Karachi or Lahore.</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utilize a randomized controlled trial (RCT) design. The target market in Islamabad will be segmented into three distinct groups:</w:t>
      </w:r>
    </w:p>
    <w:p>
      <w:pPr>
        <w:numPr>
          <w:ilvl w:val="0"/>
          <w:numId w:val="1002"/>
        </w:numPr>
        <w:pStyle w:val="Compact"/>
      </w:pPr>
      <w:r>
        <w:rPr>
          <w:bCs/>
          <w:b/>
        </w:rPr>
        <w:t xml:space="preserve">Group A (Control):</w:t>
      </w:r>
      <w:r>
        <w:t xml:space="preserve"> </w:t>
      </w:r>
      <w:r>
        <w:t xml:space="preserve">Exposed to standard national marketing materials.</w:t>
      </w:r>
    </w:p>
    <w:p>
      <w:pPr>
        <w:numPr>
          <w:ilvl w:val="0"/>
          <w:numId w:val="1002"/>
        </w:numPr>
        <w:pStyle w:val="Compact"/>
      </w:pPr>
      <w:r>
        <w:rPr>
          <w:bCs/>
          <w:b/>
        </w:rPr>
        <w:t xml:space="preserve">Group B (Localized Digital):</w:t>
      </w:r>
      <w:r>
        <w:t xml:space="preserve"> </w:t>
      </w:r>
      <w:r>
        <w:t xml:space="preserve">Exposed to Islamabad-specific digital campaigns managed by the Marketing Manager.</w:t>
      </w:r>
    </w:p>
    <w:p>
      <w:pPr>
        <w:numPr>
          <w:ilvl w:val="0"/>
          <w:numId w:val="1002"/>
        </w:numPr>
        <w:pStyle w:val="Compact"/>
      </w:pPr>
      <w:r>
        <w:rPr>
          <w:bCs/>
          <w:b/>
        </w:rPr>
        <w:t xml:space="preserve">Group C (Hybrid Local):</w:t>
      </w:r>
      <w:r>
        <w:t xml:space="preserve"> </w:t>
      </w:r>
      <w:r>
        <w:t xml:space="preserve">Exposed to a mix of localized digital content and offline events in key Islamabad areas (e.g., Centaurus Mall, Emporium).</w:t>
      </w:r>
    </w:p>
    <w:bookmarkEnd w:id="23"/>
    <w:bookmarkStart w:id="24" w:name="participants"/>
    <w:p>
      <w:pPr>
        <w:pStyle w:val="Heading3"/>
      </w:pPr>
      <w:r>
        <w:t xml:space="preserve">4.2 Participants</w:t>
      </w:r>
    </w:p>
    <w:p>
      <w:pPr>
        <w:pStyle w:val="FirstParagraph"/>
      </w:pPr>
      <w:r>
        <w:t xml:space="preserve">The participants will be consumers residing in Islamabad and its twin city, Rawalpindi, aged 18–45. This demographic represents the primary decision-makers for consumer goods and services in the region. A sample size of 1,500 participants will be recruited to ensure statistical significance.</w:t>
      </w:r>
    </w:p>
    <w:bookmarkEnd w:id="24"/>
    <w:bookmarkStart w:id="25" w:name="role-of-the-marketing-manager"/>
    <w:p>
      <w:pPr>
        <w:pStyle w:val="Heading3"/>
      </w:pPr>
      <w:r>
        <w:t xml:space="preserve">4.3 Role of the Marketing Manager</w:t>
      </w:r>
    </w:p>
    <w:p>
      <w:pPr>
        <w:pStyle w:val="FirstParagraph"/>
      </w:pPr>
      <w:r>
        <w:t xml:space="preserve">The</w:t>
      </w:r>
      <w:r>
        <w:t xml:space="preserve"> </w:t>
      </w:r>
      <w:r>
        <w:rPr>
          <w:bCs/>
          <w:b/>
        </w:rPr>
        <w:t xml:space="preserve">Marketing Manager</w:t>
      </w:r>
      <w:r>
        <w:t xml:space="preserve"> </w:t>
      </w:r>
      <w:r>
        <w:t xml:space="preserve">is the central agent of this experiment. Their responsibilities include:</w:t>
      </w:r>
    </w:p>
    <w:p>
      <w:pPr>
        <w:numPr>
          <w:ilvl w:val="0"/>
          <w:numId w:val="1003"/>
        </w:numPr>
        <w:pStyle w:val="Compact"/>
      </w:pPr>
      <w:r>
        <w:t xml:space="preserve">Designing and executing the campaign variations for Groups B and C.</w:t>
      </w:r>
    </w:p>
    <w:p>
      <w:pPr>
        <w:numPr>
          <w:ilvl w:val="0"/>
          <w:numId w:val="1003"/>
        </w:numPr>
        <w:pStyle w:val="Compact"/>
      </w:pPr>
      <w:r>
        <w:t xml:space="preserve">Ensuring cultural sensitivity and relevance to Islamabad’s socio-political environment.</w:t>
      </w:r>
    </w:p>
    <w:p>
      <w:pPr>
        <w:numPr>
          <w:ilvl w:val="0"/>
          <w:numId w:val="1003"/>
        </w:numPr>
        <w:pStyle w:val="Compact"/>
      </w:pPr>
      <w:r>
        <w:t xml:space="preserve">Monitoring real-time analytics and adjusting strategies as permitted by the protocol.</w:t>
      </w:r>
    </w:p>
    <w:p>
      <w:pPr>
        <w:numPr>
          <w:ilvl w:val="0"/>
          <w:numId w:val="1003"/>
        </w:numPr>
        <w:pStyle w:val="Compact"/>
      </w:pPr>
      <w:r>
        <w:t xml:space="preserve">Reporting weekly on key performance indicators (KPIs) such as click-through rates (CTR), cost per acquisition (CPA), and brand sentiment.</w:t>
      </w:r>
    </w:p>
    <w:bookmarkEnd w:id="25"/>
    <w:bookmarkEnd w:id="26"/>
    <w:bookmarkStart w:id="27" w:name="variables"/>
    <w:p>
      <w:pPr>
        <w:pStyle w:val="Heading2"/>
      </w:pPr>
      <w:r>
        <w:t xml:space="preserve">5.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The marketing strategy employed (National vs. Localized Digital vs. Hybrid Local).</w:t>
            </w:r>
          </w:p>
        </w:tc>
      </w:tr>
      <w:tr>
        <w:tc>
          <w:tcPr/>
          <w:p>
            <w:pPr>
              <w:pStyle w:val="Compact"/>
              <w:jc w:val="left"/>
            </w:pPr>
            <w:r>
              <w:t xml:space="preserve">Dependent Variables</w:t>
            </w:r>
          </w:p>
        </w:tc>
        <w:tc>
          <w:tcPr/>
          <w:p>
            <w:pPr>
              <w:pStyle w:val="Compact"/>
              <w:jc w:val="left"/>
            </w:pPr>
            <w:r>
              <w:t xml:space="preserve">Conversion rates, engagement metrics, sales volume, and brand recall scores.</w:t>
            </w:r>
          </w:p>
        </w:tc>
      </w:tr>
      <w:tr>
        <w:tc>
          <w:tcPr/>
          <w:p>
            <w:pPr>
              <w:pStyle w:val="Compact"/>
              <w:jc w:val="left"/>
            </w:pPr>
            <w:r>
              <w:t xml:space="preserve">Controlled Variables</w:t>
            </w:r>
          </w:p>
        </w:tc>
        <w:tc>
          <w:tcPr/>
          <w:p>
            <w:pPr>
              <w:pStyle w:val="Compact"/>
              <w:jc w:val="left"/>
            </w:pPr>
            <w:r>
              <w:t xml:space="preserve">Budget allocation per group, product pricing, duration of the experiment, and target demographic criteria.</w:t>
            </w:r>
          </w:p>
        </w:tc>
      </w:tr>
    </w:tbl>
    <w:bookmarkEnd w:id="27"/>
    <w:bookmarkStart w:id="28" w:name="data-collection-and-analysis"/>
    <w:p>
      <w:pPr>
        <w:pStyle w:val="Heading2"/>
      </w:pPr>
      <w:r>
        <w:t xml:space="preserve">6. Data Collection and Analysis</w:t>
      </w:r>
    </w:p>
    <w:p>
      <w:pPr>
        <w:pStyle w:val="FirstParagraph"/>
      </w:pPr>
      <w:r>
        <w:t xml:space="preserve">Data will be collected over a period of 12 weeks. The Marketing Manager will utilize analytics tools such as Google Analytics, Facebook Insights, and local CRM systems to track performance. Surveys will be conducted post-campaign to measure brand perception among Islamabad residents.</w:t>
      </w:r>
    </w:p>
    <w:p>
      <w:pPr>
        <w:pStyle w:val="BodyText"/>
      </w:pPr>
      <w:r>
        <w:t xml:space="preserve">Statistical analysis will be performed using ANOVA to compare the means of the three groups. The significance level will be set at p &lt; 0.05. Special attention will be paid to regional nuances, such as the impact of seasonal events in Islamabad (e.g., Pakistan Day, Independence Day) on marketing effectiveness.</w:t>
      </w:r>
    </w:p>
    <w:bookmarkEnd w:id="28"/>
    <w:bookmarkStart w:id="29" w:name="ethical-considerations"/>
    <w:p>
      <w:pPr>
        <w:pStyle w:val="Heading2"/>
      </w:pPr>
      <w:r>
        <w:t xml:space="preserve">7.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All participants will provide informed consent before data collection. Personal data will be anonymized and stored securely in compliance with Pakistan’s emerging data protection regulations. The Marketing Manager must ensure that all advertising content is truthful and does not exploit cultural or religious sentiments prevalent in Islamabad.</w:t>
      </w:r>
    </w:p>
    <w:bookmarkEnd w:id="29"/>
    <w:bookmarkStart w:id="30" w:name="timeline"/>
    <w:p>
      <w:pPr>
        <w:pStyle w:val="Heading2"/>
      </w:pPr>
      <w:r>
        <w:t xml:space="preserve">8. Timeline</w:t>
      </w:r>
    </w:p>
    <w:p>
      <w:pPr>
        <w:numPr>
          <w:ilvl w:val="0"/>
          <w:numId w:val="1004"/>
        </w:numPr>
        <w:pStyle w:val="Compact"/>
      </w:pPr>
      <w:r>
        <w:rPr>
          <w:bCs/>
          <w:b/>
        </w:rPr>
        <w:t xml:space="preserve">Weeks 1–2:</w:t>
      </w:r>
      <w:r>
        <w:t xml:space="preserve"> </w:t>
      </w:r>
      <w:r>
        <w:t xml:space="preserve">Preparation, segmentation, and campaign design by the Marketing Manager.</w:t>
      </w:r>
    </w:p>
    <w:p>
      <w:pPr>
        <w:numPr>
          <w:ilvl w:val="0"/>
          <w:numId w:val="1004"/>
        </w:numPr>
        <w:pStyle w:val="Compact"/>
      </w:pPr>
      <w:r>
        <w:rPr>
          <w:bCs/>
          <w:b/>
        </w:rPr>
        <w:t xml:space="preserve">Weeks 3–14:</w:t>
      </w:r>
      <w:r>
        <w:t xml:space="preserve"> </w:t>
      </w:r>
      <w:r>
        <w:t xml:space="preserve">Execution of the experiment and data collection.</w:t>
      </w:r>
    </w:p>
    <w:p>
      <w:pPr>
        <w:numPr>
          <w:ilvl w:val="0"/>
          <w:numId w:val="1004"/>
        </w:numPr>
        <w:pStyle w:val="Compact"/>
      </w:pPr>
      <w:r>
        <w:rPr>
          <w:bCs/>
          <w:b/>
        </w:rPr>
        <w:t xml:space="preserve">Weeks 15–16:</w:t>
      </w:r>
      <w:r>
        <w:t xml:space="preserve"> </w:t>
      </w:r>
      <w:r>
        <w:t xml:space="preserve">Data analysis and reporting.</w:t>
      </w:r>
    </w:p>
    <w:bookmarkEnd w:id="30"/>
    <w:bookmarkStart w:id="31" w:name="conclusion"/>
    <w:p>
      <w:pPr>
        <w:pStyle w:val="Heading2"/>
      </w:pPr>
      <w:r>
        <w:t xml:space="preserve">9. Conclusion</w:t>
      </w:r>
    </w:p>
    <w:p>
      <w:pPr>
        <w:pStyle w:val="FirstParagraph"/>
      </w:pPr>
      <w:r>
        <w:t xml:space="preserve">This</w:t>
      </w:r>
      <w:r>
        <w:t xml:space="preserve"> </w:t>
      </w:r>
      <w:r>
        <w:rPr>
          <w:bCs/>
          <w:b/>
        </w:rPr>
        <w:t xml:space="preserve">Experiment Protocol</w:t>
      </w:r>
      <w:r>
        <w:t xml:space="preserve"> </w:t>
      </w:r>
      <w:r>
        <w:t xml:space="preserve">provides a rigorous framework for evaluating the capabilities of a</w:t>
      </w:r>
      <w:r>
        <w:t xml:space="preserve"> </w:t>
      </w:r>
      <w:r>
        <w:rPr>
          <w:bCs/>
          <w:b/>
        </w:rPr>
        <w:t xml:space="preserve">Marketing Manager</w:t>
      </w:r>
      <w:r>
        <w:t xml:space="preserve"> </w:t>
      </w:r>
      <w:r>
        <w:t xml:space="preserve">in the unique context of</w:t>
      </w:r>
      <w:r>
        <w:t xml:space="preserve"> </w:t>
      </w:r>
      <w:r>
        <w:rPr>
          <w:bCs/>
          <w:b/>
        </w:rPr>
        <w:t xml:space="preserve">Pakistan Islamabad</w:t>
      </w:r>
      <w:r>
        <w:t xml:space="preserve">. By systematically testing different strategies, the organization can gain valuable insights into what resonates with Islamabad’s consumers, ultimately leading to more effective marketing decisions and improved business outcomes.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Performance in Pakistan Islamabad</dc:title>
  <dc:creator/>
  <dc:language>en</dc:language>
  <cp:keywords/>
  <dcterms:created xsi:type="dcterms:W3CDTF">2026-10-10T03:47:15Z</dcterms:created>
  <dcterms:modified xsi:type="dcterms:W3CDTF">2026-10-10T03:47:15Z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