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Qatar</w:t>
      </w:r>
      <w:r>
        <w:t xml:space="preserve"> </w:t>
      </w:r>
      <w:r>
        <w:t xml:space="preserve">Doha</w:t>
      </w:r>
    </w:p>
    <w:bookmarkStart w:id="20" w:name="X6ae20926587252196cb864c40b089d958c2a3ca"/>
    <w:p>
      <w:pPr>
        <w:pStyle w:val="Heading1"/>
      </w:pPr>
      <w:r>
        <w:t xml:space="preserve">Experiment Protocol: Marketing Manager Performance in Qatar Doha</w:t>
      </w:r>
    </w:p>
    <w:p>
      <w:pPr>
        <w:pStyle w:val="FirstParagraph"/>
      </w:pPr>
      <w:r>
        <w:rPr>
          <w:bCs/>
          <w:b/>
        </w:rPr>
        <w:t xml:space="preserve">Document ID:</w:t>
      </w:r>
      <w:r>
        <w:t xml:space="preserve"> </w:t>
      </w:r>
      <w:r>
        <w:t xml:space="preserve">EXP-QA-MM-2024-001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Doha, Qatar</w:t>
      </w:r>
    </w:p>
    <w:p>
      <w:pPr>
        <w:pStyle w:val="BodyText"/>
      </w:pPr>
      <w:r>
        <w:rPr>
          <w:bCs/>
          <w:b/>
        </w:rPr>
        <w:t xml:space="preserve">Prepared by:</w:t>
      </w:r>
      <w:r>
        <w:t xml:space="preserve"> </w:t>
      </w:r>
      <w:r>
        <w:t xml:space="preserve">Research &amp; Development Team</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Experiment Protocol</w:t>
      </w:r>
      <w:r>
        <w:t xml:space="preserve"> </w:t>
      </w:r>
      <w:r>
        <w:t xml:space="preserve">outlines the methodology for evaluating the effectiveness of a</w:t>
      </w:r>
      <w:r>
        <w:t xml:space="preserve"> </w:t>
      </w:r>
      <w:r>
        <w:rPr>
          <w:bCs/>
          <w:b/>
        </w:rPr>
        <w:t xml:space="preserve">Marketing Manager</w:t>
      </w:r>
      <w:r>
        <w:t xml:space="preserve"> </w:t>
      </w:r>
      <w:r>
        <w:t xml:space="preserve">operating within the dynamic business environment of</w:t>
      </w:r>
      <w:r>
        <w:t xml:space="preserve"> </w:t>
      </w:r>
      <w:r>
        <w:rPr>
          <w:bCs/>
          <w:b/>
        </w:rPr>
        <w:t xml:space="preserve">Qatar Doha</w:t>
      </w:r>
      <w:r>
        <w:t xml:space="preserve">. The purpose of this experiment is to assess how strategic marketing decisions, cultural adaptability, and digital engagement impact brand performance in the Qatari market.</w:t>
      </w:r>
    </w:p>
    <w:p>
      <w:pPr>
        <w:pStyle w:val="BodyText"/>
      </w:pPr>
      <w:r>
        <w:t xml:space="preserve">Doha, as the capital of Qatar, represents a unique marketplace characterized by rapid economic growth, a diverse expatriate population, and a strong emphasis on digital transformation. This protocol ensures that the evaluation of the</w:t>
      </w:r>
      <w:r>
        <w:t xml:space="preserve"> </w:t>
      </w:r>
      <w:r>
        <w:rPr>
          <w:bCs/>
          <w:b/>
        </w:rPr>
        <w:t xml:space="preserve">Marketing Manager</w:t>
      </w:r>
      <w:r>
        <w:t xml:space="preserve"> </w:t>
      </w:r>
      <w:r>
        <w:t xml:space="preserve">is conducted systematically, ethically, and in alignment with local regulations and cultural norms.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impact of the</w:t>
      </w:r>
      <w:r>
        <w:t xml:space="preserve"> </w:t>
      </w:r>
      <w:r>
        <w:rPr>
          <w:bCs/>
          <w:b/>
        </w:rPr>
        <w:t xml:space="preserve">Marketing Manager</w:t>
      </w:r>
      <w:r>
        <w:t xml:space="preserve">'s strategies on brand awareness in</w:t>
      </w:r>
      <w:r>
        <w:t xml:space="preserve"> </w:t>
      </w:r>
      <w:r>
        <w:rPr>
          <w:bCs/>
          <w:b/>
        </w:rPr>
        <w:t xml:space="preserve">Qatar Doha</w:t>
      </w:r>
      <w:r>
        <w:t xml:space="preserve">.</w:t>
      </w:r>
    </w:p>
    <w:p>
      <w:pPr>
        <w:numPr>
          <w:ilvl w:val="0"/>
          <w:numId w:val="1001"/>
        </w:numPr>
        <w:pStyle w:val="Compact"/>
      </w:pPr>
      <w:r>
        <w:t xml:space="preserve">To evaluate the effectiveness of localized marketing campaigns tailored to Qatari cultural and linguistic preferences.</w:t>
      </w:r>
    </w:p>
    <w:p>
      <w:pPr>
        <w:numPr>
          <w:ilvl w:val="0"/>
          <w:numId w:val="1001"/>
        </w:numPr>
        <w:pStyle w:val="Compact"/>
      </w:pPr>
      <w:r>
        <w:t xml:space="preserve">To assess the</w:t>
      </w:r>
      <w:r>
        <w:t xml:space="preserve"> </w:t>
      </w:r>
      <w:r>
        <w:rPr>
          <w:bCs/>
          <w:b/>
        </w:rPr>
        <w:t xml:space="preserve">Marketing Manager</w:t>
      </w:r>
      <w:r>
        <w:t xml:space="preserve">'s ability to leverage digital platforms popular in Doha, such as Instagram, Snapchat, and LinkedIn.</w:t>
      </w:r>
    </w:p>
    <w:p>
      <w:pPr>
        <w:numPr>
          <w:ilvl w:val="0"/>
          <w:numId w:val="1001"/>
        </w:numPr>
        <w:pStyle w:val="Compact"/>
      </w:pPr>
      <w:r>
        <w:t xml:space="preserve">To determine the return on investment (ROI) of marketing initiatives implemented by the</w:t>
      </w:r>
      <w:r>
        <w:t xml:space="preserve"> </w:t>
      </w:r>
      <w:r>
        <w:rPr>
          <w:bCs/>
          <w:b/>
        </w:rPr>
        <w:t xml:space="preserve">Marketing Manager</w:t>
      </w:r>
      <w:r>
        <w:t xml:space="preserve">.</w:t>
      </w:r>
    </w:p>
    <w:p>
      <w:pPr>
        <w:numPr>
          <w:ilvl w:val="0"/>
          <w:numId w:val="1001"/>
        </w:numPr>
        <w:pStyle w:val="Compact"/>
      </w:pPr>
      <w:r>
        <w:t xml:space="preserve">To identify best practices for marketing leadership in the Qatari business context.</w:t>
      </w:r>
    </w:p>
    <w:bookmarkEnd w:id="22"/>
    <w:bookmarkStart w:id="23" w:name="scope"/>
    <w:p>
      <w:pPr>
        <w:pStyle w:val="Heading2"/>
      </w:pPr>
      <w:r>
        <w:t xml:space="preserve">3. Scope</w:t>
      </w:r>
    </w:p>
    <w:p>
      <w:pPr>
        <w:pStyle w:val="FirstParagraph"/>
      </w:pPr>
      <w:r>
        <w:t xml:space="preserve">This</w:t>
      </w:r>
      <w:r>
        <w:t xml:space="preserve"> </w:t>
      </w:r>
      <w:r>
        <w:rPr>
          <w:bCs/>
          <w:b/>
        </w:rPr>
        <w:t xml:space="preserve">Experiment Protocol</w:t>
      </w:r>
      <w:r>
        <w:t xml:space="preserve"> </w:t>
      </w:r>
      <w:r>
        <w:t xml:space="preserve">applies to:</w:t>
      </w:r>
    </w:p>
    <w:p>
      <w:pPr>
        <w:numPr>
          <w:ilvl w:val="0"/>
          <w:numId w:val="1002"/>
        </w:numPr>
        <w:pStyle w:val="Compact"/>
      </w:pPr>
      <w:r>
        <w:t xml:space="preserve">One designated</w:t>
      </w:r>
      <w:r>
        <w:t xml:space="preserve"> </w:t>
      </w:r>
      <w:r>
        <w:rPr>
          <w:bCs/>
          <w:b/>
        </w:rPr>
        <w:t xml:space="preserve">Marketing Manager</w:t>
      </w:r>
      <w:r>
        <w:t xml:space="preserve"> </w:t>
      </w:r>
      <w:r>
        <w:t xml:space="preserve">based in</w:t>
      </w:r>
      <w:r>
        <w:t xml:space="preserve"> </w:t>
      </w:r>
      <w:r>
        <w:rPr>
          <w:bCs/>
          <w:b/>
        </w:rPr>
        <w:t xml:space="preserve">Qatar Doha</w:t>
      </w:r>
      <w:r>
        <w:t xml:space="preserve">.</w:t>
      </w:r>
    </w:p>
    <w:p>
      <w:pPr>
        <w:numPr>
          <w:ilvl w:val="0"/>
          <w:numId w:val="1002"/>
        </w:numPr>
        <w:pStyle w:val="Compact"/>
      </w:pPr>
      <w:r>
        <w:t xml:space="preserve">Marketing campaigns launched between January 2025 and December 2025.</w:t>
      </w:r>
    </w:p>
    <w:p>
      <w:pPr>
        <w:numPr>
          <w:ilvl w:val="0"/>
          <w:numId w:val="1002"/>
        </w:numPr>
        <w:pStyle w:val="Compact"/>
      </w:pPr>
      <w:r>
        <w:t xml:space="preserve">Target audiences including Qatari nationals, expatriates, and tourists in Doha.</w:t>
      </w:r>
    </w:p>
    <w:p>
      <w:pPr>
        <w:numPr>
          <w:ilvl w:val="0"/>
          <w:numId w:val="1002"/>
        </w:numPr>
        <w:pStyle w:val="Compact"/>
      </w:pPr>
      <w:r>
        <w:t xml:space="preserve">Digital, social media, and traditional marketing channels used within Qatar.</w:t>
      </w:r>
    </w:p>
    <w:p>
      <w:pPr>
        <w:pStyle w:val="FirstParagraph"/>
      </w:pPr>
      <w:r>
        <w:t xml:space="preserve">The protocol excludes international campaigns not specifically targeted at the Doha market.</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follow a controlled A/B testing framework. The</w:t>
      </w:r>
      <w:r>
        <w:t xml:space="preserve"> </w:t>
      </w:r>
      <w:r>
        <w:rPr>
          <w:bCs/>
          <w:b/>
        </w:rPr>
        <w:t xml:space="preserve">Marketing Manager</w:t>
      </w:r>
      <w:r>
        <w:t xml:space="preserve"> </w:t>
      </w:r>
      <w:r>
        <w:t xml:space="preserve">will implement two distinct marketing strategies:</w:t>
      </w:r>
    </w:p>
    <w:p>
      <w:pPr>
        <w:numPr>
          <w:ilvl w:val="0"/>
          <w:numId w:val="1003"/>
        </w:numPr>
        <w:pStyle w:val="Compact"/>
      </w:pPr>
      <w:r>
        <w:rPr>
          <w:bCs/>
          <w:b/>
        </w:rPr>
        <w:t xml:space="preserve">Strategy A:</w:t>
      </w:r>
      <w:r>
        <w:t xml:space="preserve"> </w:t>
      </w:r>
      <w:r>
        <w:t xml:space="preserve">A globally standardized marketing approach.</w:t>
      </w:r>
    </w:p>
    <w:p>
      <w:pPr>
        <w:numPr>
          <w:ilvl w:val="0"/>
          <w:numId w:val="1003"/>
        </w:numPr>
        <w:pStyle w:val="Compact"/>
      </w:pPr>
      <w:r>
        <w:rPr>
          <w:bCs/>
          <w:b/>
        </w:rPr>
        <w:t xml:space="preserve">Strategy B:</w:t>
      </w:r>
      <w:r>
        <w:t xml:space="preserve"> </w:t>
      </w:r>
      <w:r>
        <w:t xml:space="preserve">A fully localized marketing approach tailored to</w:t>
      </w:r>
      <w:r>
        <w:t xml:space="preserve"> </w:t>
      </w:r>
      <w:r>
        <w:rPr>
          <w:bCs/>
          <w:b/>
        </w:rPr>
        <w:t xml:space="preserve">Qatar Doha</w:t>
      </w:r>
      <w:r>
        <w:t xml:space="preserve">, incorporating Arabic language content, local cultural references, and region-specific promotions.</w:t>
      </w:r>
    </w:p>
    <w:p>
      <w:pPr>
        <w:pStyle w:val="FirstParagraph"/>
      </w:pPr>
      <w:r>
        <w:t xml:space="preserve">Each strategy will be tested over a three-month period with equal budget allocation.</w:t>
      </w:r>
    </w:p>
    <w:bookmarkEnd w:id="24"/>
    <w:bookmarkStart w:id="25" w:name="data-collection"/>
    <w:p>
      <w:pPr>
        <w:pStyle w:val="Heading3"/>
      </w:pPr>
      <w:r>
        <w:t xml:space="preserve">4.2 Data Collection</w:t>
      </w:r>
    </w:p>
    <w:p>
      <w:pPr>
        <w:pStyle w:val="FirstParagraph"/>
      </w:pPr>
      <w:r>
        <w:t xml:space="preserve">Data will be collected using the following methods:</w:t>
      </w:r>
    </w:p>
    <w:p>
      <w:pPr>
        <w:numPr>
          <w:ilvl w:val="0"/>
          <w:numId w:val="1004"/>
        </w:numPr>
        <w:pStyle w:val="Compact"/>
      </w:pPr>
      <w:r>
        <w:t xml:space="preserve">Web analytics (Google Analytics, social media insights).</w:t>
      </w:r>
    </w:p>
    <w:p>
      <w:pPr>
        <w:numPr>
          <w:ilvl w:val="0"/>
          <w:numId w:val="1004"/>
        </w:numPr>
        <w:pStyle w:val="Compact"/>
      </w:pPr>
      <w:r>
        <w:t xml:space="preserve">Customer surveys conducted in Arabic and English.</w:t>
      </w:r>
    </w:p>
    <w:p>
      <w:pPr>
        <w:numPr>
          <w:ilvl w:val="0"/>
          <w:numId w:val="1004"/>
        </w:numPr>
        <w:pStyle w:val="Compact"/>
      </w:pPr>
      <w:r>
        <w:t xml:space="preserve">Sales data from retail and e-commerce channels in Doha.</w:t>
      </w:r>
    </w:p>
    <w:p>
      <w:pPr>
        <w:numPr>
          <w:ilvl w:val="0"/>
          <w:numId w:val="1004"/>
        </w:numPr>
        <w:pStyle w:val="Compact"/>
      </w:pPr>
      <w:r>
        <w:t xml:space="preserve">Focus groups with consumers in</w:t>
      </w:r>
      <w:r>
        <w:t xml:space="preserve"> </w:t>
      </w:r>
      <w:r>
        <w:rPr>
          <w:bCs/>
          <w:b/>
        </w:rPr>
        <w:t xml:space="preserve">Qatar Doha</w:t>
      </w:r>
      <w:r>
        <w:t xml:space="preserve">.</w:t>
      </w:r>
    </w:p>
    <w:bookmarkEnd w:id="25"/>
    <w:bookmarkStart w:id="26" w:name="key-performance-indicators-kpis"/>
    <w:p>
      <w:pPr>
        <w:pStyle w:val="Heading3"/>
      </w:pPr>
      <w:r>
        <w:t xml:space="preserve">4.3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Measurement Method</w:t>
            </w:r>
          </w:p>
        </w:tc>
        <w:tc>
          <w:tcPr/>
          <w:p>
            <w:pPr>
              <w:pStyle w:val="Compact"/>
              <w:jc w:val="left"/>
            </w:pPr>
            <w:r>
              <w:t xml:space="preserve">Target</w:t>
            </w:r>
          </w:p>
        </w:tc>
      </w:tr>
      <w:tr>
        <w:tc>
          <w:tcPr/>
          <w:p>
            <w:pPr>
              <w:pStyle w:val="Compact"/>
              <w:jc w:val="left"/>
            </w:pPr>
            <w:r>
              <w:t xml:space="preserve">Brand Awareness</w:t>
            </w:r>
          </w:p>
        </w:tc>
        <w:tc>
          <w:tcPr/>
          <w:p>
            <w:pPr>
              <w:pStyle w:val="Compact"/>
              <w:jc w:val="left"/>
            </w:pPr>
            <w:r>
              <w:t xml:space="preserve">Surveys, social media reach</w:t>
            </w:r>
          </w:p>
        </w:tc>
        <w:tc>
          <w:tcPr/>
          <w:p>
            <w:pPr>
              <w:pStyle w:val="Compact"/>
              <w:jc w:val="left"/>
            </w:pPr>
            <w:r>
              <w:t xml:space="preserve">+20% increase</w:t>
            </w:r>
          </w:p>
        </w:tc>
      </w:tr>
      <w:tr>
        <w:tc>
          <w:tcPr/>
          <w:p>
            <w:pPr>
              <w:pStyle w:val="Compact"/>
              <w:jc w:val="left"/>
            </w:pPr>
            <w:r>
              <w:t xml:space="preserve">Engagement Rate</w:t>
            </w:r>
          </w:p>
        </w:tc>
        <w:tc>
          <w:tcPr/>
          <w:p>
            <w:pPr>
              <w:pStyle w:val="Compact"/>
              <w:jc w:val="left"/>
            </w:pPr>
            <w:r>
              <w:t xml:space="preserve">Social media analytics</w:t>
            </w:r>
          </w:p>
        </w:tc>
        <w:tc>
          <w:tcPr/>
          <w:p>
            <w:pPr>
              <w:pStyle w:val="Compact"/>
              <w:jc w:val="left"/>
            </w:pPr>
            <w:r>
              <w:t xml:space="preserve">+15% increase</w:t>
            </w:r>
          </w:p>
        </w:tc>
      </w:tr>
      <w:tr>
        <w:tc>
          <w:tcPr/>
          <w:p>
            <w:pPr>
              <w:pStyle w:val="Compact"/>
              <w:jc w:val="left"/>
            </w:pPr>
            <w:r>
              <w:t xml:space="preserve">Conversion Rate</w:t>
            </w:r>
          </w:p>
        </w:tc>
        <w:tc>
          <w:tcPr/>
          <w:p>
            <w:pPr>
              <w:pStyle w:val="Compact"/>
              <w:jc w:val="left"/>
            </w:pPr>
            <w:r>
              <w:t xml:space="preserve">Website and sales data</w:t>
            </w:r>
          </w:p>
        </w:tc>
        <w:tc>
          <w:tcPr/>
          <w:p>
            <w:pPr>
              <w:pStyle w:val="Compact"/>
              <w:jc w:val="left"/>
            </w:pPr>
            <w:r>
              <w:t xml:space="preserve">+10% increase</w:t>
            </w:r>
          </w:p>
        </w:tc>
      </w:tr>
      <w:tr>
        <w:tc>
          <w:tcPr/>
          <w:p>
            <w:pPr>
              <w:pStyle w:val="Compact"/>
              <w:jc w:val="left"/>
            </w:pPr>
            <w:r>
              <w:t xml:space="preserve">Customer Satisfaction</w:t>
            </w:r>
          </w:p>
        </w:tc>
        <w:tc>
          <w:tcPr/>
          <w:p>
            <w:pPr>
              <w:pStyle w:val="Compact"/>
              <w:jc w:val="left"/>
            </w:pPr>
            <w:r>
              <w:t xml:space="preserve">Post-campaign surveys</w:t>
            </w:r>
          </w:p>
        </w:tc>
        <w:tc>
          <w:tcPr/>
          <w:p>
            <w:pPr>
              <w:pStyle w:val="Compact"/>
              <w:jc w:val="left"/>
            </w:pPr>
            <w:r>
              <w:t xml:space="preserve">≥ 4.5/5 rating</w:t>
            </w:r>
          </w:p>
        </w:tc>
      </w:tr>
      <w:tr>
        <w:tc>
          <w:tcPr/>
          <w:p>
            <w:pPr>
              <w:pStyle w:val="Compact"/>
              <w:jc w:val="left"/>
            </w:pPr>
            <w:r>
              <w:t xml:space="preserve">ROI</w:t>
            </w:r>
          </w:p>
        </w:tc>
        <w:tc>
          <w:tcPr/>
          <w:p>
            <w:pPr>
              <w:pStyle w:val="Compact"/>
              <w:jc w:val="left"/>
            </w:pPr>
            <w:r>
              <w:t xml:space="preserve">Financial analysis</w:t>
            </w:r>
          </w:p>
        </w:tc>
        <w:tc>
          <w:tcPr/>
          <w:p>
            <w:pPr>
              <w:pStyle w:val="Compact"/>
              <w:jc w:val="left"/>
            </w:pPr>
            <w:r>
              <w:t xml:space="preserve">≥ 150%</w:t>
            </w:r>
          </w:p>
        </w:tc>
      </w:tr>
    </w:tbl>
    <w:bookmarkEnd w:id="26"/>
    <w:bookmarkEnd w:id="27"/>
    <w:bookmarkStart w:id="28" w:name="roles-and-responsibilities"/>
    <w:p>
      <w:pPr>
        <w:pStyle w:val="Heading2"/>
      </w:pPr>
      <w:r>
        <w:t xml:space="preserve">5. Roles and Responsibilities</w:t>
      </w:r>
    </w:p>
    <w:p>
      <w:pPr>
        <w:numPr>
          <w:ilvl w:val="0"/>
          <w:numId w:val="1005"/>
        </w:numPr>
        <w:pStyle w:val="Compact"/>
      </w:pPr>
      <w:r>
        <w:rPr>
          <w:bCs/>
          <w:b/>
        </w:rPr>
        <w:t xml:space="preserve">Marketing Manager:</w:t>
      </w:r>
      <w:r>
        <w:t xml:space="preserve"> </w:t>
      </w:r>
      <w:r>
        <w:t xml:space="preserve">Design and execute marketing strategies, ensure cultural relevance, and report progress.</w:t>
      </w:r>
    </w:p>
    <w:p>
      <w:pPr>
        <w:numPr>
          <w:ilvl w:val="0"/>
          <w:numId w:val="1005"/>
        </w:numPr>
        <w:pStyle w:val="Compact"/>
      </w:pPr>
      <w:r>
        <w:rPr>
          <w:bCs/>
          <w:b/>
        </w:rPr>
        <w:t xml:space="preserve">Research Team:</w:t>
      </w:r>
      <w:r>
        <w:t xml:space="preserve"> </w:t>
      </w:r>
      <w:r>
        <w:t xml:space="preserve">Collect and analyze data, conduct surveys, and monitor KPIs.</w:t>
      </w:r>
    </w:p>
    <w:p>
      <w:pPr>
        <w:numPr>
          <w:ilvl w:val="0"/>
          <w:numId w:val="1005"/>
        </w:numPr>
        <w:pStyle w:val="Compact"/>
      </w:pPr>
      <w:r>
        <w:rPr>
          <w:bCs/>
          <w:b/>
        </w:rPr>
        <w:t xml:space="preserve">Compliance Officer:</w:t>
      </w:r>
      <w:r>
        <w:t xml:space="preserve"> </w:t>
      </w:r>
      <w:r>
        <w:t xml:space="preserve">Ensure adherence to Qatari advertising laws and data protection regulations.</w:t>
      </w:r>
    </w:p>
    <w:p>
      <w:pPr>
        <w:numPr>
          <w:ilvl w:val="0"/>
          <w:numId w:val="1005"/>
        </w:numPr>
        <w:pStyle w:val="Compact"/>
      </w:pPr>
      <w:r>
        <w:rPr>
          <w:bCs/>
          <w:b/>
        </w:rPr>
        <w:t xml:space="preserve">Stakeholders:</w:t>
      </w:r>
      <w:r>
        <w:t xml:space="preserve"> </w:t>
      </w:r>
      <w:r>
        <w:t xml:space="preserve">Provide feedback and approve major strategic decisions.</w:t>
      </w:r>
    </w:p>
    <w:bookmarkEnd w:id="28"/>
    <w:bookmarkStart w:id="29"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the following ethical guidelines:</w:t>
      </w:r>
    </w:p>
    <w:p>
      <w:pPr>
        <w:numPr>
          <w:ilvl w:val="0"/>
          <w:numId w:val="1006"/>
        </w:numPr>
        <w:pStyle w:val="Compact"/>
      </w:pPr>
      <w:r>
        <w:t xml:space="preserve">All participants in surveys and focus groups will provide informed consent.</w:t>
      </w:r>
    </w:p>
    <w:p>
      <w:pPr>
        <w:numPr>
          <w:ilvl w:val="0"/>
          <w:numId w:val="1006"/>
        </w:numPr>
        <w:pStyle w:val="Compact"/>
      </w:pPr>
      <w:r>
        <w:t xml:space="preserve">Personal data will be handled in compliance with Qatar’s Personal Data Privacy Protection Law.</w:t>
      </w:r>
    </w:p>
    <w:p>
      <w:pPr>
        <w:numPr>
          <w:ilvl w:val="0"/>
          <w:numId w:val="1006"/>
        </w:numPr>
        <w:pStyle w:val="Compact"/>
      </w:pPr>
      <w:r>
        <w:t xml:space="preserve">Marketing content will respect Qatari cultural values, religious norms, and legal standards.</w:t>
      </w:r>
    </w:p>
    <w:p>
      <w:pPr>
        <w:numPr>
          <w:ilvl w:val="0"/>
          <w:numId w:val="1006"/>
        </w:numPr>
        <w:pStyle w:val="Compact"/>
      </w:pPr>
      <w:r>
        <w:t xml:space="preserve">No deceptive or misleading advertising practices will be employed.</w:t>
      </w:r>
    </w:p>
    <w:bookmarkEnd w:id="29"/>
    <w:bookmarkStart w:id="30" w:name="timeline"/>
    <w:p>
      <w:pPr>
        <w:pStyle w:val="Heading2"/>
      </w:pPr>
      <w:r>
        <w:t xml:space="preserve">7. Timeline</w:t>
      </w:r>
    </w:p>
    <w:p>
      <w:pPr>
        <w:numPr>
          <w:ilvl w:val="0"/>
          <w:numId w:val="1007"/>
        </w:numPr>
        <w:pStyle w:val="Compact"/>
      </w:pPr>
      <w:r>
        <w:rPr>
          <w:bCs/>
          <w:b/>
        </w:rPr>
        <w:t xml:space="preserve">Month 1:</w:t>
      </w:r>
      <w:r>
        <w:t xml:space="preserve"> </w:t>
      </w:r>
      <w:r>
        <w:t xml:space="preserve">Preparation, strategy development, and baseline data collection.</w:t>
      </w:r>
    </w:p>
    <w:p>
      <w:pPr>
        <w:numPr>
          <w:ilvl w:val="0"/>
          <w:numId w:val="1007"/>
        </w:numPr>
        <w:pStyle w:val="Compact"/>
      </w:pPr>
      <w:r>
        <w:rPr>
          <w:bCs/>
          <w:b/>
        </w:rPr>
        <w:t xml:space="preserve">Months 2–4:</w:t>
      </w:r>
      <w:r>
        <w:t xml:space="preserve"> </w:t>
      </w:r>
      <w:r>
        <w:t xml:space="preserve">Implementation of Strategy A.</w:t>
      </w:r>
    </w:p>
    <w:p>
      <w:pPr>
        <w:numPr>
          <w:ilvl w:val="0"/>
          <w:numId w:val="1007"/>
        </w:numPr>
        <w:pStyle w:val="Compact"/>
      </w:pPr>
      <w:r>
        <w:rPr>
          <w:bCs/>
          <w:b/>
        </w:rPr>
        <w:t xml:space="preserve">Months 5–7:</w:t>
      </w:r>
      <w:r>
        <w:t xml:space="preserve"> </w:t>
      </w:r>
      <w:r>
        <w:t xml:space="preserve">Implementation of Strategy B.</w:t>
      </w:r>
    </w:p>
    <w:p>
      <w:pPr>
        <w:numPr>
          <w:ilvl w:val="0"/>
          <w:numId w:val="1007"/>
        </w:numPr>
        <w:pStyle w:val="Compact"/>
      </w:pPr>
      <w:r>
        <w:rPr>
          <w:bCs/>
          <w:b/>
        </w:rPr>
        <w:t xml:space="preserve">Months 8–9:</w:t>
      </w:r>
      <w:r>
        <w:t xml:space="preserve"> </w:t>
      </w:r>
      <w:r>
        <w:t xml:space="preserve">Data analysis and comparison.</w:t>
      </w:r>
    </w:p>
    <w:p>
      <w:pPr>
        <w:numPr>
          <w:ilvl w:val="0"/>
          <w:numId w:val="1007"/>
        </w:numPr>
        <w:pStyle w:val="Compact"/>
      </w:pPr>
      <w:r>
        <w:rPr>
          <w:bCs/>
          <w:b/>
        </w:rPr>
        <w:t xml:space="preserve">Month 10:</w:t>
      </w:r>
      <w:r>
        <w:t xml:space="preserve"> </w:t>
      </w:r>
      <w:r>
        <w:t xml:space="preserve">Reporting and recommendations.</w:t>
      </w:r>
    </w:p>
    <w:bookmarkEnd w:id="30"/>
    <w:bookmarkStart w:id="31" w:name="risk-management"/>
    <w:p>
      <w:pPr>
        <w:pStyle w:val="Heading2"/>
      </w:pPr>
      <w:r>
        <w:t xml:space="preserve">8. Risk Management</w:t>
      </w:r>
    </w:p>
    <w:p>
      <w:pPr>
        <w:pStyle w:val="FirstParagraph"/>
      </w:pPr>
      <w:r>
        <w:t xml:space="preserve">Potential risks and mitigation strategies include:</w:t>
      </w:r>
    </w:p>
    <w:p>
      <w:pPr>
        <w:numPr>
          <w:ilvl w:val="0"/>
          <w:numId w:val="1008"/>
        </w:numPr>
        <w:pStyle w:val="Compact"/>
      </w:pPr>
      <w:r>
        <w:rPr>
          <w:bCs/>
          <w:b/>
        </w:rPr>
        <w:t xml:space="preserve">Cultural Misalignment:</w:t>
      </w:r>
      <w:r>
        <w:t xml:space="preserve"> </w:t>
      </w:r>
      <w:r>
        <w:t xml:space="preserve">Regular review of content by local experts.</w:t>
      </w:r>
    </w:p>
    <w:p>
      <w:pPr>
        <w:numPr>
          <w:ilvl w:val="0"/>
          <w:numId w:val="1008"/>
        </w:numPr>
        <w:pStyle w:val="Compact"/>
      </w:pPr>
      <w:r>
        <w:rPr>
          <w:bCs/>
          <w:b/>
        </w:rPr>
        <w:t xml:space="preserve">Low Engagement:</w:t>
      </w:r>
      <w:r>
        <w:t xml:space="preserve"> </w:t>
      </w:r>
      <w:r>
        <w:t xml:space="preserve">Agile adjustments to campaigns based on real-time data.</w:t>
      </w:r>
    </w:p>
    <w:p>
      <w:pPr>
        <w:numPr>
          <w:ilvl w:val="0"/>
          <w:numId w:val="1008"/>
        </w:numPr>
        <w:pStyle w:val="Compact"/>
      </w:pPr>
      <w:r>
        <w:rPr>
          <w:bCs/>
          <w:b/>
        </w:rPr>
        <w:t xml:space="preserve">Regulatory Changes:</w:t>
      </w:r>
      <w:r>
        <w:t xml:space="preserve"> </w:t>
      </w:r>
      <w:r>
        <w:t xml:space="preserve">Continuous monitoring of Qatari advertising regulations.</w:t>
      </w:r>
    </w:p>
    <w:bookmarkEnd w:id="31"/>
    <w:bookmarkStart w:id="32"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performance of a</w:t>
      </w:r>
      <w:r>
        <w:t xml:space="preserve"> </w:t>
      </w:r>
      <w:r>
        <w:rPr>
          <w:bCs/>
          <w:b/>
        </w:rPr>
        <w:t xml:space="preserve">Marketing Manager</w:t>
      </w:r>
      <w:r>
        <w:t xml:space="preserve"> </w:t>
      </w:r>
      <w:r>
        <w:t xml:space="preserve">in</w:t>
      </w:r>
      <w:r>
        <w:t xml:space="preserve"> </w:t>
      </w:r>
      <w:r>
        <w:rPr>
          <w:bCs/>
          <w:b/>
        </w:rPr>
        <w:t xml:space="preserve">Qatar Doha</w:t>
      </w:r>
      <w:r>
        <w:t xml:space="preserve">. By combining rigorous data collection, culturally sensitive strategies, and clear KPIs, the experiment aims to generate actionable insights that enhance marketing effectiveness in the Qatari market. The findings will contribute to best practices for marketing leadership in the region and support data-driven decision-making for future campaigns.</w:t>
      </w:r>
    </w:p>
    <w:bookmarkEnd w:id="32"/>
    <w:bookmarkStart w:id="33" w:name="approval"/>
    <w:p>
      <w:pPr>
        <w:pStyle w:val="Heading2"/>
      </w:pPr>
      <w:r>
        <w:t xml:space="preserve">10. Approval</w:t>
      </w:r>
    </w:p>
    <w:p>
      <w:pPr>
        <w:pStyle w:val="FirstParagraph"/>
      </w:pPr>
      <w:r>
        <w:rPr>
          <w:bCs/>
          <w:b/>
        </w:rPr>
        <w:t xml:space="preserve">Prepared by:</w:t>
      </w:r>
      <w:r>
        <w:t xml:space="preserve"> </w:t>
      </w:r>
      <w:r>
        <w:t xml:space="preserve">________________________</w:t>
      </w:r>
    </w:p>
    <w:p>
      <w:pPr>
        <w:pStyle w:val="BodyText"/>
      </w:pPr>
      <w:r>
        <w:rPr>
          <w:bCs/>
          <w:b/>
        </w:rPr>
        <w:t xml:space="preserve">Reviewed by:</w:t>
      </w:r>
      <w:r>
        <w:t xml:space="preserve"> </w:t>
      </w:r>
      <w:r>
        <w:t xml:space="preserve">________________________</w:t>
      </w:r>
    </w:p>
    <w:p>
      <w:pPr>
        <w:pStyle w:val="BodyText"/>
      </w:pPr>
      <w:r>
        <w:rPr>
          <w:bCs/>
          <w:b/>
        </w:rPr>
        <w:t xml:space="preserve">Approved by:</w:t>
      </w:r>
      <w:r>
        <w:t xml:space="preserve"> </w:t>
      </w:r>
      <w:r>
        <w:t xml:space="preserve">________________________</w:t>
      </w:r>
    </w:p>
    <w:p>
      <w:pPr>
        <w:pStyle w:val="BodyText"/>
      </w:pPr>
      <w:r>
        <w:rPr>
          <w:bCs/>
          <w:b/>
        </w:rPr>
        <w:t xml:space="preserve">Date:</w:t>
      </w:r>
      <w:r>
        <w:t xml:space="preserve"> </w:t>
      </w:r>
      <w:r>
        <w:t xml:space="preserve">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Qatar Doha</dc:title>
  <dc:creator/>
  <dc:language>en</dc:language>
  <cp:keywords/>
  <dcterms:created xsi:type="dcterms:W3CDTF">2026-10-10T01:13:08Z</dcterms:created>
  <dcterms:modified xsi:type="dcterms:W3CDTF">2026-10-10T01:13:08Z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