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Riyadh</w:t>
      </w:r>
    </w:p>
    <w:bookmarkStart w:id="32" w:name="X4548804bf8905d3801eb26175d2825c9baa8153"/>
    <w:p>
      <w:pPr>
        <w:pStyle w:val="Heading1"/>
      </w:pPr>
      <w:r>
        <w:t xml:space="preserve">Experiment Protocol: Strategic Marketing Manager Efficacy in the Riyadh Digital Ecosystem</w:t>
      </w:r>
    </w:p>
    <w:p>
      <w:pPr>
        <w:pStyle w:val="FirstParagraph"/>
      </w:pPr>
      <w:r>
        <w:rPr>
          <w:bCs/>
          <w:b/>
        </w:rPr>
        <w:t xml:space="preserve">Document ID:</w:t>
      </w:r>
      <w:r>
        <w:t xml:space="preserve"> </w:t>
      </w:r>
      <w:r>
        <w:t xml:space="preserve">EXP-RYD-MKT-2024-001</w:t>
      </w:r>
      <w:r>
        <w:br/>
      </w:r>
      <w:r>
        <w:rPr>
          <w:bCs/>
          <w:b/>
        </w:rPr>
        <w:t xml:space="preserve">Location:</w:t>
      </w:r>
      <w:r>
        <w:t xml:space="preserve"> </w:t>
      </w:r>
      <w:r>
        <w:t xml:space="preserve">Riyadh, Saudi Arabia</w:t>
      </w:r>
      <w:r>
        <w:br/>
      </w:r>
      <w:r>
        <w:rPr>
          <w:bCs/>
          <w:b/>
        </w:rPr>
        <w:t xml:space="preserve">Subject Role:</w:t>
      </w:r>
      <w:r>
        <w:t xml:space="preserve"> </w:t>
      </w:r>
      <w:r>
        <w:t xml:space="preserve">Marketing Manager</w:t>
      </w:r>
      <w:r>
        <w:br/>
      </w:r>
      <w:r>
        <w:rPr>
          <w:bCs/>
          <w:b/>
        </w:rPr>
        <w:t xml:space="preserve">Date:</w:t>
      </w:r>
      <w:r>
        <w:t xml:space="preserve"> </w:t>
      </w:r>
      <w:r>
        <w:t xml:space="preserve">October 24, 2024</w:t>
      </w:r>
      <w:r>
        <w:br/>
      </w: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strategic adaptability, and cultural alignment of a Marketing Manager operating within the dynamic commercial landscape of Riyadh, Saudi Arabia. As the capital city undergoes rapid transformation under Vision 2030, the role of the Marketing Manager has evolved from traditional brand stewardship to a critical driver of digital adoption, consumer engagement, and economic diversification.</w:t>
      </w:r>
    </w:p>
    <w:p>
      <w:pPr>
        <w:pStyle w:val="BodyText"/>
      </w:pPr>
      <w:r>
        <w:t xml:space="preserve">Riyadh represents a unique market characterized by a young, digitally native population, high mobile penetration, and a distinct cultural framework. This experiment aims to isolate specific variables related to marketing strategies—such as localization depth, social media platform utilization (specifically Snapchat, Twitter/X, and TikTok), and regulatory compliance—to determine their impact on Key Performance Indicators (KPIs).</w:t>
      </w:r>
    </w:p>
    <w:bookmarkEnd w:id="20"/>
    <w:bookmarkStart w:id="21" w:name="objectives"/>
    <w:p>
      <w:pPr>
        <w:pStyle w:val="Heading2"/>
      </w:pPr>
      <w:r>
        <w:t xml:space="preserve">2. Objectives</w:t>
      </w:r>
    </w:p>
    <w:p>
      <w:pPr>
        <w:pStyle w:val="FirstParagraph"/>
      </w:pPr>
      <w:r>
        <w:t xml:space="preserve">The primary objective of this experiment is to quantify the effectiveness of a Marketing Manager’s ability to execute culturally resonant campaigns in Riyadh. Specific goals include:</w:t>
      </w:r>
    </w:p>
    <w:p>
      <w:pPr>
        <w:numPr>
          <w:ilvl w:val="0"/>
          <w:numId w:val="1001"/>
        </w:numPr>
        <w:pStyle w:val="Compact"/>
      </w:pPr>
      <w:r>
        <w:rPr>
          <w:bCs/>
          <w:b/>
        </w:rPr>
        <w:t xml:space="preserve">Cultural Resonance:</w:t>
      </w:r>
      <w:r>
        <w:t xml:space="preserve"> </w:t>
      </w:r>
      <w:r>
        <w:t xml:space="preserve">To measure the correlation between localized content strategies and consumer engagement rates among Riyadh residents.</w:t>
      </w:r>
    </w:p>
    <w:p>
      <w:pPr>
        <w:numPr>
          <w:ilvl w:val="0"/>
          <w:numId w:val="1001"/>
        </w:numPr>
        <w:pStyle w:val="Compact"/>
      </w:pPr>
      <w:r>
        <w:rPr>
          <w:bCs/>
          <w:b/>
        </w:rPr>
        <w:t xml:space="preserve">Digital Agility:</w:t>
      </w:r>
      <w:r>
        <w:t xml:space="preserve"> </w:t>
      </w:r>
      <w:r>
        <w:t xml:space="preserve">To assess the Marketing Manager’s proficiency in leveraging emerging digital channels prevalent in Saudi Arabia.</w:t>
      </w:r>
    </w:p>
    <w:p>
      <w:pPr>
        <w:numPr>
          <w:ilvl w:val="0"/>
          <w:numId w:val="1001"/>
        </w:numPr>
        <w:pStyle w:val="Compact"/>
      </w:pPr>
      <w:r>
        <w:rPr>
          <w:bCs/>
          <w:b/>
        </w:rPr>
        <w:t xml:space="preserve">Regulatory Adherence:</w:t>
      </w:r>
      <w:r>
        <w:t xml:space="preserve"> </w:t>
      </w:r>
      <w:r>
        <w:t xml:space="preserve">To verify the manager’s capability to navigate the regulations set forth by the Communications, Space and Technology Commission (CST) and the General Authority for Competition.</w:t>
      </w:r>
    </w:p>
    <w:p>
      <w:pPr>
        <w:numPr>
          <w:ilvl w:val="0"/>
          <w:numId w:val="1001"/>
        </w:numPr>
        <w:pStyle w:val="Compact"/>
      </w:pPr>
      <w:r>
        <w:rPr>
          <w:bCs/>
          <w:b/>
        </w:rPr>
        <w:t xml:space="preserve">ROI Optimization:</w:t>
      </w:r>
      <w:r>
        <w:t xml:space="preserve"> </w:t>
      </w:r>
      <w:r>
        <w:t xml:space="preserve">To evaluate the financial return on marketing spend within the competitive Riyadh market.</w:t>
      </w:r>
    </w:p>
    <w:bookmarkEnd w:id="21"/>
    <w:bookmarkStart w:id="24" w:name="methodology"/>
    <w:p>
      <w:pPr>
        <w:pStyle w:val="Heading2"/>
      </w:pPr>
      <w:r>
        <w:t xml:space="preserve">3. Methodology</w:t>
      </w:r>
    </w:p>
    <w:p>
      <w:pPr>
        <w:pStyle w:val="FirstParagraph"/>
      </w:pPr>
      <w:r>
        <w:t xml:space="preserve">This experiment will utilize a controlled A/B testing framework over a period of twelve weeks. The experiment will be conducted within a mid-sized retail or technology firm based in Riyadh to ensure relevance to the local market dynamics.</w:t>
      </w:r>
    </w:p>
    <w:bookmarkStart w:id="22" w:name="participants"/>
    <w:p>
      <w:pPr>
        <w:pStyle w:val="Heading3"/>
      </w:pPr>
      <w:r>
        <w:t xml:space="preserve">3.1. Participants</w:t>
      </w:r>
    </w:p>
    <w:p>
      <w:pPr>
        <w:pStyle w:val="FirstParagraph"/>
      </w:pPr>
      <w:r>
        <w:t xml:space="preserve">The primary subject is the appointed Marketing Manager. The secondary participants include the target consumer base in Riyadh, segmented by age (18-35, 36-50), gender, and district (e.g., Al Olaya, Al Malqa, North Riyadh).</w:t>
      </w:r>
    </w:p>
    <w:bookmarkEnd w:id="22"/>
    <w:bookmarkStart w:id="23" w:name="variables"/>
    <w:p>
      <w:pPr>
        <w:pStyle w:val="Heading3"/>
      </w:pPr>
      <w:r>
        <w:t xml:space="preserve">3.2.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rPr>
                <w:bCs/>
                <w:b/>
              </w:rPr>
              <w:t xml:space="preserve">Independent Variable</w:t>
            </w:r>
          </w:p>
        </w:tc>
        <w:tc>
          <w:tcPr/>
          <w:p>
            <w:pPr>
              <w:pStyle w:val="Compact"/>
              <w:jc w:val="left"/>
            </w:pPr>
            <w:r>
              <w:t xml:space="preserve">The strategic approach of the Marketing Manager (e.g., Hyper-localized Arabic content vs. Standardized Global Content).</w:t>
            </w:r>
          </w:p>
        </w:tc>
      </w:tr>
      <w:tr>
        <w:tc>
          <w:tcPr/>
          <w:p>
            <w:pPr>
              <w:pStyle w:val="Compact"/>
              <w:jc w:val="left"/>
            </w:pPr>
            <w:r>
              <w:rPr>
                <w:bCs/>
                <w:b/>
              </w:rPr>
              <w:t xml:space="preserve">Dependent Variables</w:t>
            </w:r>
          </w:p>
        </w:tc>
        <w:tc>
          <w:tcPr/>
          <w:p>
            <w:pPr>
              <w:pStyle w:val="Compact"/>
              <w:jc w:val="left"/>
            </w:pPr>
            <w:r>
              <w:t xml:space="preserve">Engagement Rate, Conversion Rate, Brand Sentiment Score, and Customer Acquisition Cost (CAC).</w:t>
            </w:r>
          </w:p>
        </w:tc>
      </w:tr>
      <w:tr>
        <w:tc>
          <w:tcPr/>
          <w:p>
            <w:pPr>
              <w:pStyle w:val="Compact"/>
              <w:jc w:val="left"/>
            </w:pPr>
            <w:r>
              <w:rPr>
                <w:bCs/>
                <w:b/>
              </w:rPr>
              <w:t xml:space="preserve">Control Variables</w:t>
            </w:r>
          </w:p>
        </w:tc>
        <w:tc>
          <w:tcPr/>
          <w:p>
            <w:pPr>
              <w:pStyle w:val="Compact"/>
              <w:jc w:val="left"/>
            </w:pPr>
            <w:r>
              <w:t xml:space="preserve">Budget allocation, product offering, and timing of campaigns to ensure external market factors do not skew results.</w:t>
            </w:r>
          </w:p>
        </w:tc>
      </w:tr>
    </w:tbl>
    <w:bookmarkEnd w:id="23"/>
    <w:bookmarkEnd w:id="24"/>
    <w:bookmarkStart w:id="28" w:name="experimental-procedure"/>
    <w:p>
      <w:pPr>
        <w:pStyle w:val="Heading2"/>
      </w:pPr>
      <w:r>
        <w:t xml:space="preserve">4. Experimental Procedure</w:t>
      </w:r>
    </w:p>
    <w:p>
      <w:pPr>
        <w:pStyle w:val="FirstParagraph"/>
      </w:pPr>
      <w:r>
        <w:t xml:space="preserve">The experiment is divided into three distinct phases, designed to rigorously test the Marketing Manager’s capabilities in the Riyadh context.</w:t>
      </w:r>
    </w:p>
    <w:bookmarkStart w:id="25" w:name="Xaa98d1c230d27fe9540f9bc83fd333644518dd4"/>
    <w:p>
      <w:pPr>
        <w:pStyle w:val="Heading3"/>
      </w:pPr>
      <w:r>
        <w:t xml:space="preserve">Phase 1: Baseline and Cultural Audit (Weeks 1-2)</w:t>
      </w:r>
    </w:p>
    <w:p>
      <w:pPr>
        <w:pStyle w:val="FirstParagraph"/>
      </w:pPr>
      <w:r>
        <w:t xml:space="preserve">The Marketing Manager must conduct a comprehensive audit of the current brand perception in Riyadh. This involves analyzing local sentiment on social media platforms and identifying cultural nuances specific to the Saudi audience. The manager must submit a "Riyadh Market Entry Strategy" that aligns with local values and Vision 2030 initiatives.</w:t>
      </w:r>
    </w:p>
    <w:bookmarkEnd w:id="25"/>
    <w:bookmarkStart w:id="26" w:name="Xf61e289f311a4c3802e64890bebe2828e8be21e"/>
    <w:p>
      <w:pPr>
        <w:pStyle w:val="Heading3"/>
      </w:pPr>
      <w:r>
        <w:t xml:space="preserve">Phase 2: Campaign Execution and A/B Testing (Weeks 3-10)</w:t>
      </w:r>
    </w:p>
    <w:p>
      <w:pPr>
        <w:pStyle w:val="FirstParagraph"/>
      </w:pPr>
      <w:r>
        <w:t xml:space="preserve">Two parallel marketing campaigns will be launched.</w:t>
      </w:r>
    </w:p>
    <w:p>
      <w:pPr>
        <w:numPr>
          <w:ilvl w:val="0"/>
          <w:numId w:val="1002"/>
        </w:numPr>
        <w:pStyle w:val="Compact"/>
      </w:pPr>
      <w:r>
        <w:rPr>
          <w:bCs/>
          <w:b/>
        </w:rPr>
        <w:t xml:space="preserve">Campaign A (Control):</w:t>
      </w:r>
      <w:r>
        <w:t xml:space="preserve"> </w:t>
      </w:r>
      <w:r>
        <w:t xml:space="preserve">Utilizes standard, globally approved marketing assets with minimal localization.</w:t>
      </w:r>
    </w:p>
    <w:p>
      <w:pPr>
        <w:numPr>
          <w:ilvl w:val="0"/>
          <w:numId w:val="1002"/>
        </w:numPr>
        <w:pStyle w:val="Compact"/>
      </w:pPr>
      <w:r>
        <w:rPr>
          <w:bCs/>
          <w:b/>
        </w:rPr>
        <w:t xml:space="preserve">Campaign B (Experimental):</w:t>
      </w:r>
      <w:r>
        <w:t xml:space="preserve"> </w:t>
      </w:r>
      <w:r>
        <w:t xml:space="preserve">Developed by the Marketing Manager using deep localization strategies, including Saudi dialect (Najdi/Hejazi), local influencers, and culturally relevant timing (e.g., around Ramadan or National Day preparations).</w:t>
      </w:r>
    </w:p>
    <w:p>
      <w:pPr>
        <w:pStyle w:val="FirstParagraph"/>
      </w:pPr>
      <w:r>
        <w:t xml:space="preserve">The Marketing Manager is responsible for the end-to-end execution of Campaign B, ensuring all content adheres to Saudi advertising standards.</w:t>
      </w:r>
    </w:p>
    <w:bookmarkEnd w:id="26"/>
    <w:bookmarkStart w:id="27" w:name="X0236f1c62668222f3f1cb534010689bd2a7935e"/>
    <w:p>
      <w:pPr>
        <w:pStyle w:val="Heading3"/>
      </w:pPr>
      <w:r>
        <w:t xml:space="preserve">Phase 3: Data Analysis and Reporting (Weeks 11-12)</w:t>
      </w:r>
    </w:p>
    <w:p>
      <w:pPr>
        <w:pStyle w:val="FirstParagraph"/>
      </w:pPr>
      <w:r>
        <w:t xml:space="preserve">Data will be collected from social media analytics, CRM systems, and web traffic tools. The Marketing Manager must present a final report comparing the performance of both campaigns, highlighting the impact of their strategic decisions on the Riyadh consumer base.</w:t>
      </w:r>
    </w:p>
    <w:bookmarkEnd w:id="27"/>
    <w:bookmarkEnd w:id="28"/>
    <w:bookmarkStart w:id="29" w:name="ethical-considerations-and-compliance"/>
    <w:p>
      <w:pPr>
        <w:pStyle w:val="Heading2"/>
      </w:pPr>
      <w:r>
        <w:t xml:space="preserve">5. Ethical Considerations and Compliance</w:t>
      </w:r>
    </w:p>
    <w:p>
      <w:pPr>
        <w:pStyle w:val="FirstParagraph"/>
      </w:pPr>
      <w:r>
        <w:t xml:space="preserve">Given the strict regulatory environment in Saudi Arabia, this experiment must adhere to the following ethical and legal standards:</w:t>
      </w:r>
    </w:p>
    <w:p>
      <w:pPr>
        <w:numPr>
          <w:ilvl w:val="0"/>
          <w:numId w:val="1003"/>
        </w:numPr>
        <w:pStyle w:val="Compact"/>
      </w:pPr>
      <w:r>
        <w:rPr>
          <w:bCs/>
          <w:b/>
        </w:rPr>
        <w:t xml:space="preserve">Data Privacy:</w:t>
      </w:r>
      <w:r>
        <w:t xml:space="preserve"> </w:t>
      </w:r>
      <w:r>
        <w:t xml:space="preserve">All consumer data collection must comply with the Personal Data Protection Law (PDPL) of Saudi Arabia.</w:t>
      </w:r>
    </w:p>
    <w:p>
      <w:pPr>
        <w:numPr>
          <w:ilvl w:val="0"/>
          <w:numId w:val="1003"/>
        </w:numPr>
        <w:pStyle w:val="Compact"/>
      </w:pPr>
      <w:r>
        <w:rPr>
          <w:bCs/>
          <w:b/>
        </w:rPr>
        <w:t xml:space="preserve">Cultural Sensitivity:</w:t>
      </w:r>
      <w:r>
        <w:t xml:space="preserve"> </w:t>
      </w:r>
      <w:r>
        <w:t xml:space="preserve">Marketing materials must respect Islamic values and local customs. Any content deemed offensive or culturally inappropriate will result in immediate termination of the experiment.</w:t>
      </w:r>
    </w:p>
    <w:p>
      <w:pPr>
        <w:numPr>
          <w:ilvl w:val="0"/>
          <w:numId w:val="1003"/>
        </w:numPr>
        <w:pStyle w:val="Compact"/>
      </w:pPr>
      <w:r>
        <w:rPr>
          <w:bCs/>
          <w:b/>
        </w:rPr>
        <w:t xml:space="preserve">Transparency:</w:t>
      </w:r>
      <w:r>
        <w:t xml:space="preserve"> </w:t>
      </w:r>
      <w:r>
        <w:t xml:space="preserve">Influencer partnerships must be clearly disclosed in accordance with local advertising regulations.</w:t>
      </w:r>
    </w:p>
    <w:bookmarkEnd w:id="29"/>
    <w:bookmarkStart w:id="30" w:name="success-metrics"/>
    <w:p>
      <w:pPr>
        <w:pStyle w:val="Heading2"/>
      </w:pPr>
      <w:r>
        <w:t xml:space="preserve">6. Success Metrics</w:t>
      </w:r>
    </w:p>
    <w:p>
      <w:pPr>
        <w:pStyle w:val="FirstParagraph"/>
      </w:pPr>
      <w:r>
        <w:t xml:space="preserve">The experiment will be deemed successful if the Marketing Manager demonstrates a statistically significant improvement in the following areas compared to the control group:</w:t>
      </w:r>
    </w:p>
    <w:p>
      <w:pPr>
        <w:numPr>
          <w:ilvl w:val="0"/>
          <w:numId w:val="1004"/>
        </w:numPr>
        <w:pStyle w:val="Compact"/>
      </w:pPr>
      <w:r>
        <w:t xml:space="preserve">At least a 15% increase in engagement rates on local social platforms.</w:t>
      </w:r>
    </w:p>
    <w:p>
      <w:pPr>
        <w:numPr>
          <w:ilvl w:val="0"/>
          <w:numId w:val="1004"/>
        </w:numPr>
        <w:pStyle w:val="Compact"/>
      </w:pPr>
      <w:r>
        <w:t xml:space="preserve">A reduction in Customer Acquisition Cost (CAC) by 10% through targeted local strategies.</w:t>
      </w:r>
    </w:p>
    <w:p>
      <w:pPr>
        <w:numPr>
          <w:ilvl w:val="0"/>
          <w:numId w:val="1004"/>
        </w:numPr>
        <w:pStyle w:val="Compact"/>
      </w:pPr>
      <w:r>
        <w:t xml:space="preserve">Positive sentiment analysis scores indicating strong brand affinity within the Riyadh demographic.</w:t>
      </w:r>
    </w:p>
    <w:bookmarkEnd w:id="30"/>
    <w:bookmarkStart w:id="31" w:name="conclusion"/>
    <w:p>
      <w:pPr>
        <w:pStyle w:val="Heading2"/>
      </w:pPr>
      <w:r>
        <w:t xml:space="preserve">7. Conclusion</w:t>
      </w:r>
    </w:p>
    <w:p>
      <w:pPr>
        <w:pStyle w:val="FirstParagraph"/>
      </w:pPr>
      <w:r>
        <w:t xml:space="preserve">This Experiment Protocol provides a structured framework for assessing the competency of a Marketing Manager in one of the world’s most rapidly evolving markets. By focusing on the specific cultural, digital, and regulatory nuances of Riyadh, Saudi Arabia, this document ensures that marketing strategies are not only effective but also sustainable and respectful of the local environment. The insights gained from this experiment will contribute to a deeper understanding of marketing efficacy in the Gulf Cooperation Council (GCC)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Performance in Riyadh</dc:title>
  <dc:creator/>
  <dc:language>en</dc:language>
  <cp:keywords/>
  <dcterms:created xsi:type="dcterms:W3CDTF">2026-10-10T01:53:57Z</dcterms:created>
  <dcterms:modified xsi:type="dcterms:W3CDTF">2026-10-10T01:53:57Z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