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Singapore</w:t>
      </w:r>
    </w:p>
    <w:bookmarkStart w:id="31" w:name="Xdfc2f4e30b1271716a79ca82757e454473ce594"/>
    <w:p>
      <w:pPr>
        <w:pStyle w:val="Heading1"/>
      </w:pPr>
      <w:r>
        <w:t xml:space="preserve">Experiment Protocol: Strategic Optimization of the Marketing Manager Role in Singapore</w:t>
      </w:r>
    </w:p>
    <w:p>
      <w:pPr>
        <w:pStyle w:val="FirstParagraph"/>
      </w:pPr>
      <w:r>
        <w:rPr>
          <w:bCs/>
          <w:b/>
        </w:rPr>
        <w:t xml:space="preserve">Document ID:</w:t>
      </w:r>
      <w:r>
        <w:t xml:space="preserve"> </w:t>
      </w:r>
      <w:r>
        <w:t xml:space="preserve">EXP-SG-MM-2023-001</w:t>
      </w:r>
    </w:p>
    <w:p>
      <w:pPr>
        <w:pStyle w:val="BodyText"/>
      </w:pPr>
      <w:r>
        <w:rPr>
          <w:bCs/>
          <w:b/>
        </w:rPr>
        <w:t xml:space="preserve">Location:</w:t>
      </w:r>
      <w:r>
        <w:t xml:space="preserve"> </w:t>
      </w:r>
      <w:r>
        <w:t xml:space="preserve">Singapore, Singapore</w:t>
      </w:r>
    </w:p>
    <w:p>
      <w:pPr>
        <w:pStyle w:val="BodyText"/>
      </w:pPr>
      <w:r>
        <w:rPr>
          <w:bCs/>
          <w:b/>
        </w:rPr>
        <w:t xml:space="preserve">Role Under Review:</w:t>
      </w:r>
      <w:r>
        <w:t xml:space="preserve"> </w:t>
      </w:r>
      <w:r>
        <w:t xml:space="preserve">Marketing Manager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and optimizing the responsibilities, performance metrics, and strategic impact of the Marketing Manager position within organizations operating in Singapore, Singapore. As a global business hub, Singapore presents a unique, multicultural, and highly digital environment. The role of the Marketing Manager here requires a nuanced approach that balances global brand consistency with local cultural sensitivity and regulatory compliance.</w:t>
      </w:r>
    </w:p>
    <w:p>
      <w:pPr>
        <w:pStyle w:val="BodyText"/>
      </w:pPr>
      <w:r>
        <w:t xml:space="preserve">The purpose of this experiment is to determine if shifting the Marketing Manager's focus from traditional brand awareness to data-driven, omnichannel customer acquisition yields higher ROI in the Singaporean market. This protocol ensures that the experiment is conducted ethically, legally, and with scientific rigor.</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a data-centric Marketing Manager strategy on customer acquisition costs (CAC) in Singapore.</w:t>
      </w:r>
    </w:p>
    <w:p>
      <w:pPr>
        <w:numPr>
          <w:ilvl w:val="0"/>
          <w:numId w:val="1001"/>
        </w:numPr>
        <w:pStyle w:val="Compact"/>
      </w:pPr>
      <w:r>
        <w:t xml:space="preserve">To assess the effectiveness of localized content strategies managed by the Marketing Manager compared to global templates.</w:t>
      </w:r>
    </w:p>
    <w:p>
      <w:pPr>
        <w:numPr>
          <w:ilvl w:val="0"/>
          <w:numId w:val="1001"/>
        </w:numPr>
        <w:pStyle w:val="Compact"/>
      </w:pPr>
      <w:r>
        <w:t xml:space="preserve">To evaluate the Marketing Manager's ability to navigate Singapore's specific digital landscape, including high mobile penetration and diverse linguistic demographics.</w:t>
      </w:r>
    </w:p>
    <w:p>
      <w:pPr>
        <w:numPr>
          <w:ilvl w:val="0"/>
          <w:numId w:val="1001"/>
        </w:numPr>
        <w:pStyle w:val="Compact"/>
      </w:pPr>
      <w:r>
        <w:t xml:space="preserve">To ensure all marketing activities comply with the Personal Data Protection Act (PDPA) of Singapore.</w:t>
      </w:r>
    </w:p>
    <w:bookmarkEnd w:id="21"/>
    <w:bookmarkStart w:id="22" w:name="scope-and-definitions"/>
    <w:p>
      <w:pPr>
        <w:pStyle w:val="Heading2"/>
      </w:pPr>
      <w:r>
        <w:t xml:space="preserve">3. Scope and Definitions</w:t>
      </w:r>
    </w:p>
    <w:p>
      <w:pPr>
        <w:pStyle w:val="FirstParagraph"/>
      </w:pPr>
      <w:r>
        <w:rPr>
          <w:bCs/>
          <w:b/>
        </w:rPr>
        <w:t xml:space="preserve">Scope:</w:t>
      </w:r>
      <w:r>
        <w:t xml:space="preserve"> </w:t>
      </w:r>
      <w:r>
        <w:t xml:space="preserve">This experiment applies to Marketing Managers employed by mid-to-large enterprises headquartered or operating significantly in Singapore, Singapore. It covers digital marketing, social media engagement, and local partnership initiatives.</w:t>
      </w:r>
    </w:p>
    <w:p>
      <w:pPr>
        <w:pStyle w:val="BodyText"/>
      </w:pPr>
      <w:r>
        <w:rPr>
          <w:bCs/>
          <w:b/>
        </w:rPr>
        <w:t xml:space="preserve">Key Definitions:</w:t>
      </w:r>
    </w:p>
    <w:p>
      <w:pPr>
        <w:numPr>
          <w:ilvl w:val="0"/>
          <w:numId w:val="1002"/>
        </w:numPr>
        <w:pStyle w:val="Compact"/>
      </w:pPr>
      <w:r>
        <w:rPr>
          <w:bCs/>
          <w:b/>
        </w:rPr>
        <w:t xml:space="preserve">Marketing Manager:</w:t>
      </w:r>
      <w:r>
        <w:t xml:space="preserve"> </w:t>
      </w:r>
      <w:r>
        <w:t xml:space="preserve">The individual responsible for planning, executing, and overseeing marketing programs.</w:t>
      </w:r>
    </w:p>
    <w:p>
      <w:pPr>
        <w:numPr>
          <w:ilvl w:val="0"/>
          <w:numId w:val="1002"/>
        </w:numPr>
        <w:pStyle w:val="Compact"/>
      </w:pPr>
      <w:r>
        <w:rPr>
          <w:bCs/>
          <w:b/>
        </w:rPr>
        <w:t xml:space="preserve">Singapore Context:</w:t>
      </w:r>
      <w:r>
        <w:t xml:space="preserve"> </w:t>
      </w:r>
      <w:r>
        <w:t xml:space="preserve">The specific socio-economic, cultural, and regulatory environment of Singapore, Singapore.</w:t>
      </w:r>
    </w:p>
    <w:p>
      <w:pPr>
        <w:numPr>
          <w:ilvl w:val="0"/>
          <w:numId w:val="1002"/>
        </w:numPr>
        <w:pStyle w:val="Compact"/>
      </w:pPr>
      <w:r>
        <w:rPr>
          <w:bCs/>
          <w:b/>
        </w:rPr>
        <w:t xml:space="preserve">Control Group:</w:t>
      </w:r>
      <w:r>
        <w:t xml:space="preserve"> </w:t>
      </w:r>
      <w:r>
        <w:t xml:space="preserve">Marketing Managers continuing with traditional, broad-reach marketing strategies.</w:t>
      </w:r>
    </w:p>
    <w:p>
      <w:pPr>
        <w:numPr>
          <w:ilvl w:val="0"/>
          <w:numId w:val="1002"/>
        </w:numPr>
        <w:pStyle w:val="Compact"/>
      </w:pPr>
      <w:r>
        <w:rPr>
          <w:bCs/>
          <w:b/>
        </w:rPr>
        <w:t xml:space="preserve">Experimental Group:</w:t>
      </w:r>
      <w:r>
        <w:t xml:space="preserve"> </w:t>
      </w:r>
      <w:r>
        <w:t xml:space="preserve">Marketing Managers implementing the new data-driven, hyper-localized strategy.</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Marketing Managers currently operating in Singapore, Singapore. They will be selected based on tenure (minimum 12 months) and industry sector (FMCG, Tech, or Financial Services). Participants will be randomly assigned to either the Control Group or the Experimental Group to minimize selection bias.</w:t>
      </w:r>
    </w:p>
    <w:bookmarkEnd w:id="23"/>
    <w:bookmarkStart w:id="24" w:name="experimental-design"/>
    <w:p>
      <w:pPr>
        <w:pStyle w:val="Heading3"/>
      </w:pPr>
      <w:r>
        <w:t xml:space="preserve">4.2 Experimental Design</w:t>
      </w:r>
    </w:p>
    <w:p>
      <w:pPr>
        <w:pStyle w:val="FirstParagraph"/>
      </w:pPr>
      <w:r>
        <w:t xml:space="preserve">The experiment will utilize a randomized controlled trial (RCT) design over a period of six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Control Group Strategy</w:t>
            </w:r>
          </w:p>
        </w:tc>
        <w:tc>
          <w:tcPr/>
          <w:p>
            <w:pPr>
              <w:pStyle w:val="Compact"/>
              <w:jc w:val="left"/>
            </w:pPr>
            <w:r>
              <w:t xml:space="preserve">Experimental Group Strategy</w:t>
            </w:r>
          </w:p>
        </w:tc>
      </w:tr>
      <w:tr>
        <w:tc>
          <w:tcPr/>
          <w:p>
            <w:pPr>
              <w:pStyle w:val="Compact"/>
              <w:jc w:val="left"/>
            </w:pPr>
            <w:r>
              <w:rPr>
                <w:bCs/>
                <w:b/>
              </w:rPr>
              <w:t xml:space="preserve">Content Focus</w:t>
            </w:r>
          </w:p>
        </w:tc>
        <w:tc>
          <w:tcPr/>
          <w:p>
            <w:pPr>
              <w:pStyle w:val="Compact"/>
              <w:jc w:val="left"/>
            </w:pPr>
            <w:r>
              <w:t xml:space="preserve">Global brand guidelines with minor localization.</w:t>
            </w:r>
          </w:p>
        </w:tc>
        <w:tc>
          <w:tcPr/>
          <w:p>
            <w:pPr>
              <w:pStyle w:val="Compact"/>
              <w:jc w:val="left"/>
            </w:pPr>
            <w:r>
              <w:t xml:space="preserve">Hyper-localized content addressing Singaporean cultural nuances and festivals.</w:t>
            </w:r>
          </w:p>
        </w:tc>
      </w:tr>
      <w:tr>
        <w:tc>
          <w:tcPr/>
          <w:p>
            <w:pPr>
              <w:pStyle w:val="Compact"/>
              <w:jc w:val="left"/>
            </w:pPr>
            <w:r>
              <w:rPr>
                <w:bCs/>
                <w:b/>
              </w:rPr>
              <w:t xml:space="preserve">Channel Allocation</w:t>
            </w:r>
          </w:p>
        </w:tc>
        <w:tc>
          <w:tcPr/>
          <w:p>
            <w:pPr>
              <w:pStyle w:val="Compact"/>
              <w:jc w:val="left"/>
            </w:pPr>
            <w:r>
              <w:t xml:space="preserve">Standard mix: 40% Social, 30% Search, 30% Display.</w:t>
            </w:r>
          </w:p>
        </w:tc>
        <w:tc>
          <w:tcPr/>
          <w:p>
            <w:pPr>
              <w:pStyle w:val="Compact"/>
              <w:jc w:val="left"/>
            </w:pPr>
            <w:r>
              <w:t xml:space="preserve">Data-optimized mix based on real-time Singaporean consumer behavior.</w:t>
            </w:r>
          </w:p>
        </w:tc>
      </w:tr>
      <w:tr>
        <w:tc>
          <w:tcPr/>
          <w:p>
            <w:pPr>
              <w:pStyle w:val="Compact"/>
              <w:jc w:val="left"/>
            </w:pPr>
            <w:r>
              <w:rPr>
                <w:bCs/>
                <w:b/>
              </w:rPr>
              <w:t xml:space="preserve">Decision Making</w:t>
            </w:r>
          </w:p>
        </w:tc>
        <w:tc>
          <w:tcPr/>
          <w:p>
            <w:pPr>
              <w:pStyle w:val="Compact"/>
              <w:jc w:val="left"/>
            </w:pPr>
            <w:r>
              <w:t xml:space="preserve">Quarterly strategy reviews.</w:t>
            </w:r>
          </w:p>
        </w:tc>
        <w:tc>
          <w:tcPr/>
          <w:p>
            <w:pPr>
              <w:pStyle w:val="Compact"/>
              <w:jc w:val="left"/>
            </w:pPr>
            <w:r>
              <w:t xml:space="preserve">Weekly agile adjustments based on performance data.</w:t>
            </w:r>
          </w:p>
        </w:tc>
      </w:tr>
      <w:tr>
        <w:tc>
          <w:tcPr/>
          <w:p>
            <w:pPr>
              <w:pStyle w:val="Compact"/>
              <w:jc w:val="left"/>
            </w:pPr>
            <w:r>
              <w:rPr>
                <w:bCs/>
                <w:b/>
              </w:rPr>
              <w:t xml:space="preserve">Compliance</w:t>
            </w:r>
          </w:p>
        </w:tc>
        <w:tc>
          <w:tcPr/>
          <w:p>
            <w:pPr>
              <w:pStyle w:val="Compact"/>
              <w:jc w:val="left"/>
            </w:pPr>
            <w:r>
              <w:t xml:space="preserve">Standard PDPA adherence.</w:t>
            </w:r>
          </w:p>
        </w:tc>
        <w:tc>
          <w:tcPr/>
          <w:p>
            <w:pPr>
              <w:pStyle w:val="Compact"/>
              <w:jc w:val="left"/>
            </w:pPr>
            <w:r>
              <w:t xml:space="preserve">Enhanced PDPA transparency features in campaigns.</w:t>
            </w:r>
          </w:p>
        </w:tc>
      </w:tr>
    </w:tbl>
    <w:bookmarkEnd w:id="24"/>
    <w:bookmarkStart w:id="25" w:name="data-collection"/>
    <w:p>
      <w:pPr>
        <w:pStyle w:val="Heading3"/>
      </w:pPr>
      <w:r>
        <w:t xml:space="preserve">4.3 Data Collection</w:t>
      </w:r>
    </w:p>
    <w:p>
      <w:pPr>
        <w:pStyle w:val="FirstParagraph"/>
      </w:pPr>
      <w:r>
        <w:t xml:space="preserve">Data will be collected through integrated marketing analytics platforms. Key metrics include:</w:t>
      </w:r>
    </w:p>
    <w:p>
      <w:pPr>
        <w:numPr>
          <w:ilvl w:val="0"/>
          <w:numId w:val="1003"/>
        </w:numPr>
        <w:pStyle w:val="Compact"/>
      </w:pPr>
      <w:r>
        <w:t xml:space="preserve">Conversion rates across different demographic segments in Singapore.</w:t>
      </w:r>
    </w:p>
    <w:p>
      <w:pPr>
        <w:numPr>
          <w:ilvl w:val="0"/>
          <w:numId w:val="1003"/>
        </w:numPr>
        <w:pStyle w:val="Compact"/>
      </w:pPr>
      <w:r>
        <w:t xml:space="preserve">Customer Lifetime Value (CLV).</w:t>
      </w:r>
    </w:p>
    <w:p>
      <w:pPr>
        <w:numPr>
          <w:ilvl w:val="0"/>
          <w:numId w:val="1003"/>
        </w:numPr>
        <w:pStyle w:val="Compact"/>
      </w:pPr>
      <w:r>
        <w:t xml:space="preserve">Brand sentiment analysis on local social media platforms.</w:t>
      </w:r>
    </w:p>
    <w:p>
      <w:pPr>
        <w:numPr>
          <w:ilvl w:val="0"/>
          <w:numId w:val="1003"/>
        </w:numPr>
        <w:pStyle w:val="Compact"/>
      </w:pPr>
      <w:r>
        <w:t xml:space="preserve">Compliance audit scores regarding PDPA regulations.</w:t>
      </w:r>
    </w:p>
    <w:bookmarkEnd w:id="25"/>
    <w:bookmarkEnd w:id="26"/>
    <w:bookmarkStart w:id="27" w:name="ethical-considerations-and-compliance"/>
    <w:p>
      <w:pPr>
        <w:pStyle w:val="Heading2"/>
      </w:pPr>
      <w:r>
        <w:t xml:space="preserve">5. Ethical Considerations and Compliance</w:t>
      </w:r>
    </w:p>
    <w:p>
      <w:pPr>
        <w:pStyle w:val="FirstParagraph"/>
      </w:pPr>
      <w:r>
        <w:t xml:space="preserve">Given the strict regulatory environment in Singapore, Singapore, this experiment prioritizes ethical standards.</w:t>
      </w:r>
    </w:p>
    <w:p>
      <w:pPr>
        <w:numPr>
          <w:ilvl w:val="0"/>
          <w:numId w:val="1004"/>
        </w:numPr>
        <w:pStyle w:val="Compact"/>
      </w:pPr>
      <w:r>
        <w:rPr>
          <w:bCs/>
          <w:b/>
        </w:rPr>
        <w:t xml:space="preserve">Data Privacy:</w:t>
      </w:r>
      <w:r>
        <w:t xml:space="preserve"> </w:t>
      </w:r>
      <w:r>
        <w:t xml:space="preserve">All consumer data used by the Marketing Managers must be anonymized and processed in strict accordance with the Personal Data Protection Act (PDPA). No personal data will be shared outside the organization without explicit consent.</w:t>
      </w:r>
    </w:p>
    <w:p>
      <w:pPr>
        <w:numPr>
          <w:ilvl w:val="0"/>
          <w:numId w:val="1004"/>
        </w:numPr>
        <w:pStyle w:val="Compact"/>
      </w:pPr>
      <w:r>
        <w:rPr>
          <w:bCs/>
          <w:b/>
        </w:rPr>
        <w:t xml:space="preserve">Informed Consent:</w:t>
      </w:r>
      <w:r>
        <w:t xml:space="preserve"> </w:t>
      </w:r>
      <w:r>
        <w:t xml:space="preserve">Internal participants (Marketing Managers) will provide informed consent regarding their participation in the performance experiment.</w:t>
      </w:r>
    </w:p>
    <w:p>
      <w:pPr>
        <w:numPr>
          <w:ilvl w:val="0"/>
          <w:numId w:val="1004"/>
        </w:numPr>
        <w:pStyle w:val="Compact"/>
      </w:pPr>
      <w:r>
        <w:rPr>
          <w:bCs/>
          <w:b/>
        </w:rPr>
        <w:t xml:space="preserve">Non-Discrimination:</w:t>
      </w:r>
      <w:r>
        <w:t xml:space="preserve"> </w:t>
      </w:r>
      <w:r>
        <w:t xml:space="preserve">Marketing strategies must not discriminate based on race, religion, or gender, aligning with Singapore's multicultural values.</w:t>
      </w:r>
    </w:p>
    <w:bookmarkEnd w:id="27"/>
    <w:bookmarkStart w:id="28" w:name="risk-management"/>
    <w:p>
      <w:pPr>
        <w:pStyle w:val="Heading2"/>
      </w:pPr>
      <w:r>
        <w:t xml:space="preserve">6. Risk Management</w:t>
      </w:r>
    </w:p>
    <w:p>
      <w:pPr>
        <w:pStyle w:val="FirstParagraph"/>
      </w:pPr>
      <w:r>
        <w:t xml:space="preserve">Potential risks include brand dilution if localization is too aggressive, or data breaches. Mitigation strategies include:</w:t>
      </w:r>
    </w:p>
    <w:p>
      <w:pPr>
        <w:numPr>
          <w:ilvl w:val="0"/>
          <w:numId w:val="1005"/>
        </w:numPr>
        <w:pStyle w:val="Compact"/>
      </w:pPr>
      <w:r>
        <w:t xml:space="preserve">Regular brand alignment audits for the Experimental Group.</w:t>
      </w:r>
    </w:p>
    <w:p>
      <w:pPr>
        <w:numPr>
          <w:ilvl w:val="0"/>
          <w:numId w:val="1005"/>
        </w:numPr>
        <w:pStyle w:val="Compact"/>
      </w:pPr>
      <w:r>
        <w:t xml:space="preserve">Implementation of robust cybersecurity protocols for all Marketing Managers involved.</w:t>
      </w:r>
    </w:p>
    <w:p>
      <w:pPr>
        <w:numPr>
          <w:ilvl w:val="0"/>
          <w:numId w:val="1005"/>
        </w:numPr>
        <w:pStyle w:val="Compact"/>
      </w:pPr>
      <w:r>
        <w:t xml:space="preserve">A "stop-loss" mechanism to halt any campaign that negatively impacts brand reputation significantly.</w:t>
      </w:r>
    </w:p>
    <w:bookmarkEnd w:id="28"/>
    <w:bookmarkStart w:id="29" w:name="analysis-and-reporting"/>
    <w:p>
      <w:pPr>
        <w:pStyle w:val="Heading2"/>
      </w:pPr>
      <w:r>
        <w:t xml:space="preserve">7. Analysis and Reporting</w:t>
      </w:r>
    </w:p>
    <w:p>
      <w:pPr>
        <w:pStyle w:val="FirstParagraph"/>
      </w:pPr>
      <w:r>
        <w:t xml:space="preserve">At the conclusion of the six-month period, data will be analyzed using statistical methods to determine significant differences between the Control and Experimental groups. The final report will provide actionable recommendations for optimizing the Marketing Manager role in Singapore, Singapore, focusing on scalability, efficiency, and cultural resonance.</w:t>
      </w:r>
    </w:p>
    <w:bookmarkEnd w:id="29"/>
    <w:bookmarkStart w:id="30" w:name="approval-and-sign-off"/>
    <w:p>
      <w:pPr>
        <w:pStyle w:val="Heading2"/>
      </w:pPr>
      <w:r>
        <w:t xml:space="preserve">8. Approval and Sign-off</w:t>
      </w:r>
    </w:p>
    <w:p>
      <w:pPr>
        <w:pStyle w:val="FirstParagraph"/>
      </w:pPr>
      <w:r>
        <w:t xml:space="preserve">This Experiment Protocol has been reviewed and approved by the Chief Marketing Officer and the Compliance Officer.</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Singapore</dc:title>
  <dc:creator/>
  <dc:language>en</dc:language>
  <cp:keywords/>
  <dcterms:created xsi:type="dcterms:W3CDTF">2026-10-10T01:57:25Z</dcterms:created>
  <dcterms:modified xsi:type="dcterms:W3CDTF">2026-10-10T01:57:25Z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