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Spain</w:t>
      </w:r>
      <w:r>
        <w:t xml:space="preserve"> </w:t>
      </w:r>
      <w:r>
        <w:t xml:space="preserve">Valencia</w:t>
      </w:r>
    </w:p>
    <w:bookmarkStart w:id="34" w:name="Xce2aa9c7c11369740b344fc88494b27e58fbf55"/>
    <w:p>
      <w:pPr>
        <w:pStyle w:val="Heading1"/>
      </w:pPr>
      <w:r>
        <w:t xml:space="preserve">Experiment Protocol: Strategic Impact of the Marketing Manager Role in Spain Valencia</w:t>
      </w:r>
    </w:p>
    <w:p>
      <w:pPr>
        <w:pStyle w:val="FirstParagraph"/>
      </w:pPr>
      <w:r>
        <w:rPr>
          <w:bCs/>
          <w:b/>
        </w:rPr>
        <w:t xml:space="preserve">Document ID:</w:t>
      </w:r>
      <w:r>
        <w:t xml:space="preserve"> </w:t>
      </w:r>
      <w:r>
        <w:t xml:space="preserve">EXP-VAL-MM-2024-001</w:t>
      </w:r>
    </w:p>
    <w:p>
      <w:pPr>
        <w:pStyle w:val="BodyText"/>
      </w:pPr>
      <w:r>
        <w:rPr>
          <w:bCs/>
          <w:b/>
        </w:rPr>
        <w:t xml:space="preserve">Region:</w:t>
      </w:r>
      <w:r>
        <w:t xml:space="preserve"> </w:t>
      </w:r>
      <w:r>
        <w:t xml:space="preserve">Spain Valencia (Comunidad Valenciana)</w:t>
      </w:r>
    </w:p>
    <w:p>
      <w:pPr>
        <w:pStyle w:val="BodyText"/>
      </w:pPr>
      <w:r>
        <w:rPr>
          <w:bCs/>
          <w:b/>
        </w:rPr>
        <w:t xml:space="preserve">Subject:</w:t>
      </w:r>
      <w:r>
        <w:t xml:space="preserve"> </w:t>
      </w:r>
      <w:r>
        <w:t xml:space="preserve">Marketing Manager Performance and Localization Strategy</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efficacy and strategic value of a Marketing Manager within the specific socio-economic context of Spain Valencia. Valencia represents a unique market characterized by a blend of traditional commerce, a burgeoning tech ecosystem (often referred to as the "Valencia Tech Hub"), and a distinct cultural identity. The role of the Marketing Manager in this region requires a nuanced approach that differs significantly from centralized strategies often deployed from Madrid or international headquarters.</w:t>
      </w:r>
    </w:p>
    <w:p>
      <w:pPr>
        <w:pStyle w:val="BodyText"/>
      </w:pPr>
      <w:r>
        <w:t xml:space="preserve">The primary objective of this experiment is to determine how localized decision-making by a Marketing Manager influences brand perception, customer acquisition costs (CAC), and conversion rates among the Valencian demographic. This protocol ensures that all testing is conducted ethically, legally, and with respect for local cultural norms.</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Localization Efficacy:</w:t>
      </w:r>
      <w:r>
        <w:t xml:space="preserve"> </w:t>
      </w:r>
      <w:r>
        <w:t xml:space="preserve">Measure the impact of culturally adapted messaging (including the use of Valencian language nuances) versus standardized Spanish or English content.</w:t>
      </w:r>
    </w:p>
    <w:p>
      <w:pPr>
        <w:numPr>
          <w:ilvl w:val="0"/>
          <w:numId w:val="1001"/>
        </w:numPr>
        <w:pStyle w:val="Compact"/>
      </w:pPr>
      <w:r>
        <w:rPr>
          <w:bCs/>
          <w:b/>
        </w:rPr>
        <w:t xml:space="preserve">Channel Optimization:</w:t>
      </w:r>
      <w:r>
        <w:t xml:space="preserve"> </w:t>
      </w:r>
      <w:r>
        <w:t xml:space="preserve">Identify which digital and physical channels yield the highest ROI for a Marketing Manager operating in the Valencia metropolitan area.</w:t>
      </w:r>
    </w:p>
    <w:p>
      <w:pPr>
        <w:numPr>
          <w:ilvl w:val="0"/>
          <w:numId w:val="1001"/>
        </w:numPr>
        <w:pStyle w:val="Compact"/>
      </w:pPr>
      <w:r>
        <w:rPr>
          <w:bCs/>
          <w:b/>
        </w:rPr>
        <w:t xml:space="preserve">Community Engagement:</w:t>
      </w:r>
      <w:r>
        <w:t xml:space="preserve"> </w:t>
      </w:r>
      <w:r>
        <w:t xml:space="preserve">Evaluate the effectiveness of the Marketing Manager in leveraging local events (such as Las Fallas or the Valencia Biennial) for brand integration.</w:t>
      </w:r>
    </w:p>
    <w:p>
      <w:pPr>
        <w:numPr>
          <w:ilvl w:val="0"/>
          <w:numId w:val="1001"/>
        </w:numPr>
        <w:pStyle w:val="Compact"/>
      </w:pPr>
      <w:r>
        <w:rPr>
          <w:bCs/>
          <w:b/>
        </w:rPr>
        <w:t xml:space="preserve">Agility Assessment:</w:t>
      </w:r>
      <w:r>
        <w:t xml:space="preserve"> </w:t>
      </w:r>
      <w:r>
        <w:t xml:space="preserve">Test the speed and accuracy of the Marketing Manager's response to local market trends compared to a centralized marketing team.</w:t>
      </w:r>
    </w:p>
    <w:bookmarkEnd w:id="21"/>
    <w:bookmarkStart w:id="22" w:name="hypothesis"/>
    <w:p>
      <w:pPr>
        <w:pStyle w:val="Heading2"/>
      </w:pPr>
      <w:r>
        <w:t xml:space="preserve">3. Hypothesis</w:t>
      </w:r>
    </w:p>
    <w:p>
      <w:pPr>
        <w:pStyle w:val="FirstParagraph"/>
      </w:pPr>
      <w:r>
        <w:rPr>
          <w:bCs/>
          <w:b/>
        </w:rPr>
        <w:t xml:space="preserve">H1:</w:t>
      </w:r>
      <w:r>
        <w:t xml:space="preserve"> </w:t>
      </w:r>
      <w:r>
        <w:t xml:space="preserve">A Marketing Manager with autonomous decision-making power and deep local knowledge of Spain Valencia will achieve a 20% higher engagement rate than campaigns managed remotely.</w:t>
      </w:r>
    </w:p>
    <w:p>
      <w:pPr>
        <w:pStyle w:val="BodyText"/>
      </w:pPr>
      <w:r>
        <w:rPr>
          <w:bCs/>
          <w:b/>
        </w:rPr>
        <w:t xml:space="preserve">H2:</w:t>
      </w:r>
      <w:r>
        <w:t xml:space="preserve"> </w:t>
      </w:r>
      <w:r>
        <w:t xml:space="preserve">Incorporating regional cultural references and bilingual elements (Spanish/Valencian) in marketing collateral will increase trust metrics and conversion rates among local consumers by at least 15%.</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The target market of Spain Valencia will be segmented into two distinct groups:</w:t>
      </w:r>
    </w:p>
    <w:p>
      <w:pPr>
        <w:numPr>
          <w:ilvl w:val="0"/>
          <w:numId w:val="1002"/>
        </w:numPr>
        <w:pStyle w:val="Compact"/>
      </w:pPr>
      <w:r>
        <w:rPr>
          <w:bCs/>
          <w:b/>
        </w:rPr>
        <w:t xml:space="preserve">Control Group:</w:t>
      </w:r>
      <w:r>
        <w:t xml:space="preserve"> </w:t>
      </w:r>
      <w:r>
        <w:t xml:space="preserve">Exposed to standardized, generic marketing campaigns managed by a central team without specific localization for Valencia.</w:t>
      </w:r>
    </w:p>
    <w:p>
      <w:pPr>
        <w:numPr>
          <w:ilvl w:val="0"/>
          <w:numId w:val="1002"/>
        </w:numPr>
        <w:pStyle w:val="Compact"/>
      </w:pPr>
      <w:r>
        <w:rPr>
          <w:bCs/>
          <w:b/>
        </w:rPr>
        <w:t xml:space="preserve">Experimental Group:</w:t>
      </w:r>
      <w:r>
        <w:t xml:space="preserve"> </w:t>
      </w:r>
      <w:r>
        <w:t xml:space="preserve">Exposed to campaigns curated, executed, and optimized by the designated Marketing Manager based in Valencia, utilizing hyper-local insights.</w:t>
      </w:r>
    </w:p>
    <w:bookmarkEnd w:id="23"/>
    <w:bookmarkStart w:id="24" w:name="target-audience"/>
    <w:p>
      <w:pPr>
        <w:pStyle w:val="Heading3"/>
      </w:pPr>
      <w:r>
        <w:t xml:space="preserve">4.2. Target Audience</w:t>
      </w:r>
    </w:p>
    <w:p>
      <w:pPr>
        <w:pStyle w:val="FirstParagraph"/>
      </w:pPr>
      <w:r>
        <w:t xml:space="preserve">The sample population will consist of residents within the Province of Valencia, specifically focusing on the urban core and surrounding municipalities. Demographics will include:</w:t>
      </w:r>
    </w:p>
    <w:p>
      <w:pPr>
        <w:numPr>
          <w:ilvl w:val="0"/>
          <w:numId w:val="1003"/>
        </w:numPr>
        <w:pStyle w:val="Compact"/>
      </w:pPr>
      <w:r>
        <w:t xml:space="preserve">Age: 25–55 years old.</w:t>
      </w:r>
    </w:p>
    <w:p>
      <w:pPr>
        <w:numPr>
          <w:ilvl w:val="0"/>
          <w:numId w:val="1003"/>
        </w:numPr>
        <w:pStyle w:val="Compact"/>
      </w:pPr>
      <w:r>
        <w:t xml:space="preserve">Language: Spanish speakers, with a subset of Valencian speakers.</w:t>
      </w:r>
    </w:p>
    <w:p>
      <w:pPr>
        <w:numPr>
          <w:ilvl w:val="0"/>
          <w:numId w:val="1003"/>
        </w:numPr>
        <w:pStyle w:val="Compact"/>
      </w:pPr>
      <w:r>
        <w:t xml:space="preserve">Behavior: Active digital users and frequent participants in local commerce.</w:t>
      </w:r>
    </w:p>
    <w:bookmarkEnd w:id="24"/>
    <w:bookmarkStart w:id="25" w:name="variables"/>
    <w:p>
      <w:pPr>
        <w:pStyle w:val="Heading3"/>
      </w:pPr>
      <w:r>
        <w:t xml:space="preserve">4.3. Variables</w:t>
      </w:r>
    </w:p>
    <w:p>
      <w:pPr>
        <w:pStyle w:val="FirstParagraph"/>
      </w:pPr>
      <w:r>
        <w:rPr>
          <w:bCs/>
          <w:b/>
        </w:rPr>
        <w:t xml:space="preserve">Independent Variables:</w:t>
      </w:r>
    </w:p>
    <w:p>
      <w:pPr>
        <w:numPr>
          <w:ilvl w:val="0"/>
          <w:numId w:val="1004"/>
        </w:numPr>
        <w:pStyle w:val="Compact"/>
      </w:pPr>
      <w:r>
        <w:t xml:space="preserve">Source of campaign strategy (Centralized vs. Local Marketing Manager).</w:t>
      </w:r>
    </w:p>
    <w:p>
      <w:pPr>
        <w:numPr>
          <w:ilvl w:val="0"/>
          <w:numId w:val="1004"/>
        </w:numPr>
        <w:pStyle w:val="Compact"/>
      </w:pPr>
      <w:r>
        <w:t xml:space="preserve">Language and cultural tone of the content.</w:t>
      </w:r>
    </w:p>
    <w:p>
      <w:pPr>
        <w:numPr>
          <w:ilvl w:val="0"/>
          <w:numId w:val="1004"/>
        </w:numPr>
        <w:pStyle w:val="Compact"/>
      </w:pPr>
      <w:r>
        <w:t xml:space="preserve">Timing of campaigns relative to local Valencia events.</w:t>
      </w:r>
    </w:p>
    <w:p>
      <w:pPr>
        <w:pStyle w:val="FirstParagraph"/>
      </w:pPr>
      <w:r>
        <w:rPr>
          <w:bCs/>
          <w:b/>
        </w:rPr>
        <w:t xml:space="preserve">Dependent Variables:</w:t>
      </w:r>
    </w:p>
    <w:p>
      <w:pPr>
        <w:numPr>
          <w:ilvl w:val="0"/>
          <w:numId w:val="1005"/>
        </w:numPr>
        <w:pStyle w:val="Compact"/>
      </w:pPr>
      <w:r>
        <w:t xml:space="preserve">Click-Through Rate (CTR).</w:t>
      </w:r>
    </w:p>
    <w:p>
      <w:pPr>
        <w:numPr>
          <w:ilvl w:val="0"/>
          <w:numId w:val="1005"/>
        </w:numPr>
        <w:pStyle w:val="Compact"/>
      </w:pPr>
      <w:r>
        <w:t xml:space="preserve">Conversion Rate.</w:t>
      </w:r>
    </w:p>
    <w:p>
      <w:pPr>
        <w:numPr>
          <w:ilvl w:val="0"/>
          <w:numId w:val="1005"/>
        </w:numPr>
        <w:pStyle w:val="Compact"/>
      </w:pPr>
      <w:r>
        <w:t xml:space="preserve">Customer Acquisition Cost (CAC).</w:t>
      </w:r>
    </w:p>
    <w:p>
      <w:pPr>
        <w:numPr>
          <w:ilvl w:val="0"/>
          <w:numId w:val="1005"/>
        </w:numPr>
        <w:pStyle w:val="Compact"/>
      </w:pPr>
      <w:r>
        <w:t xml:space="preserve">Sentiment Analysis scores from social media interactions.</w:t>
      </w:r>
    </w:p>
    <w:bookmarkEnd w:id="25"/>
    <w:bookmarkEnd w:id="26"/>
    <w:bookmarkStart w:id="30" w:name="procedure"/>
    <w:p>
      <w:pPr>
        <w:pStyle w:val="Heading2"/>
      </w:pPr>
      <w:r>
        <w:t xml:space="preserve">5. Procedure</w:t>
      </w:r>
    </w:p>
    <w:bookmarkStart w:id="27" w:name="phase-1-preparation-and-compliance"/>
    <w:p>
      <w:pPr>
        <w:pStyle w:val="Heading3"/>
      </w:pPr>
      <w:r>
        <w:t xml:space="preserve">5.1. Phase 1: Preparation and Compliance</w:t>
      </w:r>
    </w:p>
    <w:p>
      <w:pPr>
        <w:pStyle w:val="FirstParagraph"/>
      </w:pPr>
      <w:r>
        <w:t xml:space="preserve">Before launching, the Marketing Manager must ensure full compliance with the General Data Protection Regulation (GDPR) and the Spanish Organic Law on Data Protection (LOPDGDD). All data collection mechanisms must be transparent. The Marketing Manager will develop a localized content calendar that respects the specific rhythm of life in Spain Valencia, accounting for siesta hours, late dining times, and regional holidays.</w:t>
      </w:r>
    </w:p>
    <w:bookmarkEnd w:id="27"/>
    <w:bookmarkStart w:id="28" w:name="phase-2-execution"/>
    <w:p>
      <w:pPr>
        <w:pStyle w:val="Heading3"/>
      </w:pPr>
      <w:r>
        <w:t xml:space="preserve">5.2. Phase 2: Execution</w:t>
      </w:r>
    </w:p>
    <w:p>
      <w:pPr>
        <w:pStyle w:val="FirstParagraph"/>
      </w:pPr>
      <w:r>
        <w:t xml:space="preserve">Over a period of 12 weeks, the Marketing Manager will execute the experimental campaigns. This includes:</w:t>
      </w:r>
    </w:p>
    <w:p>
      <w:pPr>
        <w:numPr>
          <w:ilvl w:val="0"/>
          <w:numId w:val="1006"/>
        </w:numPr>
        <w:pStyle w:val="Compact"/>
      </w:pPr>
      <w:r>
        <w:rPr>
          <w:bCs/>
          <w:b/>
        </w:rPr>
        <w:t xml:space="preserve">Digital Advertising:</w:t>
      </w:r>
      <w:r>
        <w:t xml:space="preserve"> </w:t>
      </w:r>
      <w:r>
        <w:t xml:space="preserve">Geo-targeted ads on social media platforms focusing on Valencia-specific interests.</w:t>
      </w:r>
    </w:p>
    <w:p>
      <w:pPr>
        <w:numPr>
          <w:ilvl w:val="0"/>
          <w:numId w:val="1006"/>
        </w:numPr>
        <w:pStyle w:val="Compact"/>
      </w:pPr>
      <w:r>
        <w:rPr>
          <w:bCs/>
          <w:b/>
        </w:rPr>
        <w:t xml:space="preserve">Content Marketing:</w:t>
      </w:r>
      <w:r>
        <w:t xml:space="preserve"> </w:t>
      </w:r>
      <w:r>
        <w:t xml:space="preserve">Blog posts and videos featuring local landmarks (e.g., City of Arts and Sciences) and local success stories.</w:t>
      </w:r>
    </w:p>
    <w:p>
      <w:pPr>
        <w:numPr>
          <w:ilvl w:val="0"/>
          <w:numId w:val="1006"/>
        </w:numPr>
        <w:pStyle w:val="Compact"/>
      </w:pPr>
      <w:r>
        <w:rPr>
          <w:bCs/>
          <w:b/>
        </w:rPr>
        <w:t xml:space="preserve">Partnerships:</w:t>
      </w:r>
      <w:r>
        <w:t xml:space="preserve"> </w:t>
      </w:r>
      <w:r>
        <w:t xml:space="preserve">Collaborations with local Valencian influencers and businesses to enhance credibility.</w:t>
      </w:r>
    </w:p>
    <w:bookmarkEnd w:id="28"/>
    <w:bookmarkStart w:id="29" w:name="phase-3-monitoring-and-adjustment"/>
    <w:p>
      <w:pPr>
        <w:pStyle w:val="Heading3"/>
      </w:pPr>
      <w:r>
        <w:t xml:space="preserve">5.3. Phase 3: Monitoring and Adjustment</w:t>
      </w:r>
    </w:p>
    <w:p>
      <w:pPr>
        <w:pStyle w:val="FirstParagraph"/>
      </w:pPr>
      <w:r>
        <w:t xml:space="preserve">The Marketing Manager will monitor performance metrics weekly. Real-time adjustments will be permitted for the experimental group to test the agility hypothesis. For example, if a specific local event in Valencia gains traction, the Marketing Manager is authorized to pivot the campaign narrative immediately, whereas the control group will remain static.</w:t>
      </w:r>
    </w:p>
    <w:bookmarkEnd w:id="29"/>
    <w:bookmarkEnd w:id="30"/>
    <w:bookmarkStart w:id="31" w:name="data-analysis"/>
    <w:p>
      <w:pPr>
        <w:pStyle w:val="Heading2"/>
      </w:pPr>
      <w:r>
        <w:t xml:space="preserve">6. Data Analysis</w:t>
      </w:r>
    </w:p>
    <w:p>
      <w:pPr>
        <w:pStyle w:val="FirstParagraph"/>
      </w:pPr>
      <w:r>
        <w:t xml:space="preserve">Upon completion of the 12-week period, data will be aggregated and analyzed using statistical software. Key comparisons will be made between the Control and Experimental groups. Special attention will be paid to qualitative feedback to understand the emotional resonance of the Marketing Manager's localized approach.</w:t>
      </w:r>
    </w:p>
    <w:bookmarkEnd w:id="31"/>
    <w:bookmarkStart w:id="32" w:name="ethical-considerations"/>
    <w:p>
      <w:pPr>
        <w:pStyle w:val="Heading2"/>
      </w:pPr>
      <w:r>
        <w:t xml:space="preserve">7. Ethical Considerations</w:t>
      </w:r>
    </w:p>
    <w:p>
      <w:pPr>
        <w:pStyle w:val="FirstParagraph"/>
      </w:pPr>
      <w:r>
        <w:t xml:space="preserve">This experiment prioritizes consumer privacy and cultural respect. No sensitive personal data will be collected without explicit consent. The Marketing Manager must ensure that all cultural references used in Spain Valencia are authentic and respectful, avoiding stereotypes. The experiment must adhere to the principles of transparency, ensuring that participants are aware they are part of a marketing study where applicable.</w:t>
      </w:r>
    </w:p>
    <w:bookmarkEnd w:id="32"/>
    <w:bookmarkStart w:id="33" w:name="conclusion-and-reporting"/>
    <w:p>
      <w:pPr>
        <w:pStyle w:val="Heading2"/>
      </w:pPr>
      <w:r>
        <w:t xml:space="preserve">8. Conclusion and Reporting</w:t>
      </w:r>
    </w:p>
    <w:p>
      <w:pPr>
        <w:pStyle w:val="FirstParagraph"/>
      </w:pPr>
      <w:r>
        <w:t xml:space="preserve">The findings of this Experiment Protocol will be compiled into a comprehensive report. This report will provide actionable insights into the value proposition of hiring a dedicated Marketing Manager for the Spain Valencia region. The results will inform future organizational structures and marketing budgets, potentially establishing a new standard for regional marketing operations within the company.</w:t>
      </w:r>
    </w:p>
    <w:p>
      <w:pPr>
        <w:pStyle w:val="BodyText"/>
      </w:pPr>
      <w:r>
        <w:rPr>
          <w:iCs/>
          <w:i/>
        </w:rPr>
        <w:t xml:space="preserve">This document is a formal protocol. Any deviations from the outlined procedures must be documented and approved by the project oversight committee.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Spain Valencia</dc:title>
  <dc:creator/>
  <dc:language>en</dc:language>
  <cp:keywords/>
  <dcterms:created xsi:type="dcterms:W3CDTF">2026-10-10T02:23:14Z</dcterms:created>
  <dcterms:modified xsi:type="dcterms:W3CDTF">2026-10-10T02:23:14Z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