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Optimization</w:t>
      </w:r>
    </w:p>
    <w:bookmarkStart w:id="20" w:name="X1bac0fffdaacc63ee6f0172b0e25f2d206217f3"/>
    <w:p>
      <w:pPr>
        <w:pStyle w:val="Heading1"/>
      </w:pPr>
      <w:r>
        <w:t xml:space="preserve">Experiment Protocol: Strategic Marketing Manager Efficacy Assessment</w:t>
      </w:r>
    </w:p>
    <w:p>
      <w:pPr>
        <w:pStyle w:val="FirstParagraph"/>
      </w:pPr>
      <w:r>
        <w:rPr>
          <w:bCs/>
          <w:b/>
        </w:rPr>
        <w:t xml:space="preserve">Location:</w:t>
      </w:r>
      <w:r>
        <w:t xml:space="preserve"> </w:t>
      </w:r>
      <w:r>
        <w:t xml:space="preserve">United Arab Emirates, Abu Dhabi</w:t>
      </w:r>
    </w:p>
    <w:p>
      <w:pPr>
        <w:pStyle w:val="BodyText"/>
      </w:pPr>
      <w:r>
        <w:rPr>
          <w:bCs/>
          <w:b/>
        </w:rPr>
        <w:t xml:space="preserve">Role Under Review:</w:t>
      </w:r>
      <w:r>
        <w:t xml:space="preserve"> </w:t>
      </w:r>
      <w:r>
        <w:t xml:space="preserve">Marketing Manager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evaluating the strategic impact and operational efficiency of a Marketing Manager within the dynamic business environment of Abu Dhabi, United Arab Emirates. The Abu Dhabi market is characterized by a unique blend of rapid digital transformation, a multicultural demographic, and strict regulatory frameworks regarding advertising and data privacy.</w:t>
      </w:r>
    </w:p>
    <w:p>
      <w:pPr>
        <w:pStyle w:val="BodyText"/>
      </w:pPr>
      <w:r>
        <w:t xml:space="preserve">The objective of this experiment is to determine whether a data-driven, localized marketing strategy, executed by a specialized Marketing Manager, yields statistically significant improvements in customer acquisition costs (CAC) and brand engagement compared to traditional, broad-spectrum marketing approaches. This protocol ensures that the evaluation is conducted ethically, legally, and in alignment with the cultural nuances of the UAE.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effectiveness of a Marketing Manager in adapting global brand messaging to the local cultural context of Abu Dhabi.</w:t>
      </w:r>
    </w:p>
    <w:p>
      <w:pPr>
        <w:numPr>
          <w:ilvl w:val="0"/>
          <w:numId w:val="1001"/>
        </w:numPr>
        <w:pStyle w:val="Compact"/>
      </w:pPr>
      <w:r>
        <w:t xml:space="preserve">To assess the impact of localized digital campaigns on conversion rates among Emirati and expatriate demographics.</w:t>
      </w:r>
    </w:p>
    <w:p>
      <w:pPr>
        <w:numPr>
          <w:ilvl w:val="0"/>
          <w:numId w:val="1001"/>
        </w:numPr>
        <w:pStyle w:val="Compact"/>
      </w:pPr>
      <w:r>
        <w:t xml:space="preserve">To evaluate the Marketing Manager's ability to navigate UAE-specific regulatory requirements, including the Telecommunications and Digital Government Regulatory Authority (TDRA) guidelines.</w:t>
      </w:r>
    </w:p>
    <w:p>
      <w:pPr>
        <w:numPr>
          <w:ilvl w:val="0"/>
          <w:numId w:val="1001"/>
        </w:numPr>
        <w:pStyle w:val="Compact"/>
      </w:pPr>
      <w:r>
        <w:t xml:space="preserve">To quantify the return on investment (ROI) of targeted marketing initiatives versus generic campaigns.</w:t>
      </w:r>
    </w:p>
    <w:bookmarkEnd w:id="22"/>
    <w:bookmarkStart w:id="23" w:name="hypothesis"/>
    <w:p>
      <w:pPr>
        <w:pStyle w:val="Heading2"/>
      </w:pPr>
      <w:r>
        <w:t xml:space="preserve">3. Hypothesis</w:t>
      </w:r>
    </w:p>
    <w:p>
      <w:pPr>
        <w:pStyle w:val="FirstParagraph"/>
      </w:pPr>
      <w:r>
        <w:rPr>
          <w:bCs/>
          <w:b/>
        </w:rPr>
        <w:t xml:space="preserve">Hypothesis:</w:t>
      </w:r>
      <w:r>
        <w:t xml:space="preserve"> </w:t>
      </w:r>
      <w:r>
        <w:t xml:space="preserve">A Marketing Manager who implements a culturally nuanced, data-driven strategy tailored to the Abu Dhabi market will achieve a 20% higher engagement rate and a 15% reduction in customer acquisition costs compared to a control group utilizing standardized, non-localized marketing materials.</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utilize a randomized controlled trial (RCT) design. The target audience will be segmented into two groups: the Experimental Group and the Control Group. Both groups will be drawn from the same demographic pool within Abu Dhabi to ensure comparability.</w:t>
      </w:r>
    </w:p>
    <w:bookmarkEnd w:id="24"/>
    <w:bookmarkStart w:id="25" w:name="participant-selection"/>
    <w:p>
      <w:pPr>
        <w:pStyle w:val="Heading3"/>
      </w:pPr>
      <w:r>
        <w:t xml:space="preserve">4.2 Participant Selection</w:t>
      </w:r>
    </w:p>
    <w:p>
      <w:pPr>
        <w:pStyle w:val="FirstParagraph"/>
      </w:pPr>
      <w:r>
        <w:t xml:space="preserve">Participants will be selected based on predefined criteria relevant to the product or service being marketed. The sample size will be calculated to ensure statistical power. Inclusion criteria will focus on residents of Abu Dhabi aged 18-45, active on digital platforms commonly used in the UAE, such as Instagram, Snapchat, and LinkedIn.</w:t>
      </w:r>
    </w:p>
    <w:bookmarkEnd w:id="25"/>
    <w:bookmarkStart w:id="26" w:name="intervention"/>
    <w:p>
      <w:pPr>
        <w:pStyle w:val="Heading3"/>
      </w:pPr>
      <w:r>
        <w:t xml:space="preserve">4.3 Intervention</w:t>
      </w:r>
    </w:p>
    <w:p>
      <w:pPr>
        <w:pStyle w:val="FirstParagraph"/>
      </w:pPr>
      <w:r>
        <w:rPr>
          <w:bCs/>
          <w:b/>
        </w:rPr>
        <w:t xml:space="preserve">Experimental Group:</w:t>
      </w:r>
      <w:r>
        <w:t xml:space="preserve"> </w:t>
      </w:r>
      <w:r>
        <w:t xml:space="preserve">This group will be exposed to marketing campaigns developed and executed by the Marketing Manager. These campaigns will feature:</w:t>
      </w:r>
    </w:p>
    <w:p>
      <w:pPr>
        <w:numPr>
          <w:ilvl w:val="0"/>
          <w:numId w:val="1002"/>
        </w:numPr>
        <w:pStyle w:val="Compact"/>
      </w:pPr>
      <w:r>
        <w:t xml:space="preserve">Content localized in both Arabic and English, respecting cultural sensitivities.</w:t>
      </w:r>
    </w:p>
    <w:p>
      <w:pPr>
        <w:numPr>
          <w:ilvl w:val="0"/>
          <w:numId w:val="1002"/>
        </w:numPr>
        <w:pStyle w:val="Compact"/>
      </w:pPr>
      <w:r>
        <w:t xml:space="preserve">Use of local influencers and community leaders.</w:t>
      </w:r>
    </w:p>
    <w:p>
      <w:pPr>
        <w:numPr>
          <w:ilvl w:val="0"/>
          <w:numId w:val="1002"/>
        </w:numPr>
        <w:pStyle w:val="Compact"/>
      </w:pPr>
      <w:r>
        <w:t xml:space="preserve">Timing aligned with local events and holidays (e.g., Ramadan, National Day).</w:t>
      </w:r>
    </w:p>
    <w:p>
      <w:pPr>
        <w:pStyle w:val="FirstParagraph"/>
      </w:pPr>
      <w:r>
        <w:rPr>
          <w:bCs/>
          <w:b/>
        </w:rPr>
        <w:t xml:space="preserve">Control Group:</w:t>
      </w:r>
      <w:r>
        <w:t xml:space="preserve"> </w:t>
      </w:r>
      <w:r>
        <w:t xml:space="preserve">This group will be exposed to generic, non-localized marketing materials that do not account for specific cultural or regional preferences.</w:t>
      </w:r>
    </w:p>
    <w:bookmarkEnd w:id="26"/>
    <w:bookmarkStart w:id="27" w:name="data-collection"/>
    <w:p>
      <w:pPr>
        <w:pStyle w:val="Heading3"/>
      </w:pPr>
      <w:r>
        <w:t xml:space="preserve">4.4 Data Collection</w:t>
      </w:r>
    </w:p>
    <w:p>
      <w:pPr>
        <w:pStyle w:val="FirstParagraph"/>
      </w:pPr>
      <w:r>
        <w:t xml:space="preserve">Data will be collected over a period of three months. Key performance indicators (KPIs) will include:</w:t>
      </w:r>
    </w:p>
    <w:p>
      <w:pPr>
        <w:numPr>
          <w:ilvl w:val="0"/>
          <w:numId w:val="1003"/>
        </w:numPr>
        <w:pStyle w:val="Compact"/>
      </w:pPr>
      <w:r>
        <w:t xml:space="preserve">Click-through rates (CTR)</w:t>
      </w:r>
    </w:p>
    <w:p>
      <w:pPr>
        <w:numPr>
          <w:ilvl w:val="0"/>
          <w:numId w:val="1003"/>
        </w:numPr>
        <w:pStyle w:val="Compact"/>
      </w:pPr>
      <w:r>
        <w:t xml:space="preserve">Conversion rates</w:t>
      </w:r>
    </w:p>
    <w:p>
      <w:pPr>
        <w:numPr>
          <w:ilvl w:val="0"/>
          <w:numId w:val="1003"/>
        </w:numPr>
        <w:pStyle w:val="Compact"/>
      </w:pPr>
      <w:r>
        <w:t xml:space="preserve">Customer acquisition costs (CAC)</w:t>
      </w:r>
    </w:p>
    <w:p>
      <w:pPr>
        <w:numPr>
          <w:ilvl w:val="0"/>
          <w:numId w:val="1003"/>
        </w:numPr>
        <w:pStyle w:val="Compact"/>
      </w:pPr>
      <w:r>
        <w:t xml:space="preserve">Brand sentiment analysis</w:t>
      </w:r>
    </w:p>
    <w:bookmarkEnd w:id="27"/>
    <w:bookmarkEnd w:id="28"/>
    <w:bookmarkStart w:id="29" w:name="ethical-considerations-and-compliance"/>
    <w:p>
      <w:pPr>
        <w:pStyle w:val="Heading2"/>
      </w:pPr>
      <w:r>
        <w:t xml:space="preserve">5. Ethical Considerations and Compliance</w:t>
      </w:r>
    </w:p>
    <w:p>
      <w:pPr>
        <w:pStyle w:val="FirstParagraph"/>
      </w:pPr>
      <w:r>
        <w:t xml:space="preserve">Given the strict regulatory environment in the United Arab Emirates, this experiment will adhere to the following ethical guidelines:</w:t>
      </w:r>
    </w:p>
    <w:p>
      <w:pPr>
        <w:numPr>
          <w:ilvl w:val="0"/>
          <w:numId w:val="1004"/>
        </w:numPr>
        <w:pStyle w:val="Compact"/>
      </w:pPr>
      <w:r>
        <w:rPr>
          <w:bCs/>
          <w:b/>
        </w:rPr>
        <w:t xml:space="preserve">Data Privacy:</w:t>
      </w:r>
      <w:r>
        <w:t xml:space="preserve"> </w:t>
      </w:r>
      <w:r>
        <w:t xml:space="preserve">All data collection will comply with the UAE Data Protection Law. Informed consent will be obtained from all participants.</w:t>
      </w:r>
    </w:p>
    <w:p>
      <w:pPr>
        <w:numPr>
          <w:ilvl w:val="0"/>
          <w:numId w:val="1004"/>
        </w:numPr>
        <w:pStyle w:val="Compact"/>
      </w:pPr>
      <w:r>
        <w:rPr>
          <w:bCs/>
          <w:b/>
        </w:rPr>
        <w:t xml:space="preserve">Cultural Sensitivity:</w:t>
      </w:r>
      <w:r>
        <w:t xml:space="preserve"> </w:t>
      </w:r>
      <w:r>
        <w:t xml:space="preserve">Marketing materials will be reviewed to ensure they respect local customs and values.</w:t>
      </w:r>
    </w:p>
    <w:p>
      <w:pPr>
        <w:numPr>
          <w:ilvl w:val="0"/>
          <w:numId w:val="1004"/>
        </w:numPr>
        <w:pStyle w:val="Compact"/>
      </w:pPr>
      <w:r>
        <w:rPr>
          <w:bCs/>
          <w:b/>
        </w:rPr>
        <w:t xml:space="preserve">Transparency:</w:t>
      </w:r>
      <w:r>
        <w:t xml:space="preserve"> </w:t>
      </w:r>
      <w:r>
        <w:t xml:space="preserve">Participants will be informed that they are part of a marketing study, and their data will be anonymized.</w:t>
      </w:r>
    </w:p>
    <w:bookmarkEnd w:id="29"/>
    <w:bookmarkStart w:id="30" w:name="risk-management"/>
    <w:p>
      <w:pPr>
        <w:pStyle w:val="Heading2"/>
      </w:pPr>
      <w:r>
        <w:t xml:space="preserve">6. Risk Management</w:t>
      </w:r>
    </w:p>
    <w:p>
      <w:pPr>
        <w:pStyle w:val="FirstParagraph"/>
      </w:pPr>
      <w:r>
        <w:t xml:space="preserve">Potential risks include:</w:t>
      </w:r>
    </w:p>
    <w:p>
      <w:pPr>
        <w:numPr>
          <w:ilvl w:val="0"/>
          <w:numId w:val="1005"/>
        </w:numPr>
        <w:pStyle w:val="Compact"/>
      </w:pPr>
      <w:r>
        <w:rPr>
          <w:bCs/>
          <w:b/>
        </w:rPr>
        <w:t xml:space="preserve">Regulatory Non-Compliance:</w:t>
      </w:r>
      <w:r>
        <w:t xml:space="preserve"> </w:t>
      </w:r>
      <w:r>
        <w:t xml:space="preserve">Mitigated by regular audits and consultation with legal experts familiar with UAE advertising laws.</w:t>
      </w:r>
    </w:p>
    <w:p>
      <w:pPr>
        <w:numPr>
          <w:ilvl w:val="0"/>
          <w:numId w:val="1005"/>
        </w:numPr>
        <w:pStyle w:val="Compact"/>
      </w:pPr>
      <w:r>
        <w:rPr>
          <w:bCs/>
          <w:b/>
        </w:rPr>
        <w:t xml:space="preserve">Cultural Misinterpretation:</w:t>
      </w:r>
      <w:r>
        <w:t xml:space="preserve"> </w:t>
      </w:r>
      <w:r>
        <w:t xml:space="preserve">Mitigated by involving local cultural consultants in the campaign development process.</w:t>
      </w:r>
    </w:p>
    <w:p>
      <w:pPr>
        <w:numPr>
          <w:ilvl w:val="0"/>
          <w:numId w:val="1005"/>
        </w:numPr>
        <w:pStyle w:val="Compact"/>
      </w:pPr>
      <w:r>
        <w:rPr>
          <w:bCs/>
          <w:b/>
        </w:rPr>
        <w:t xml:space="preserve">Data Breach:</w:t>
      </w:r>
      <w:r>
        <w:t xml:space="preserve"> </w:t>
      </w:r>
      <w:r>
        <w:t xml:space="preserve">Mitigated by implementing robust cybersecurity measures and encryption protocols.</w:t>
      </w:r>
    </w:p>
    <w:bookmarkEnd w:id="30"/>
    <w:bookmarkStart w:id="31" w:name="timeline"/>
    <w:p>
      <w:pPr>
        <w:pStyle w:val="Heading2"/>
      </w:pPr>
      <w:r>
        <w:t xml:space="preserve">7. Timeline</w:t>
      </w:r>
    </w:p>
    <w:p>
      <w:pPr>
        <w:numPr>
          <w:ilvl w:val="0"/>
          <w:numId w:val="1006"/>
        </w:numPr>
        <w:pStyle w:val="Compact"/>
      </w:pPr>
      <w:r>
        <w:rPr>
          <w:bCs/>
          <w:b/>
        </w:rPr>
        <w:t xml:space="preserve">Month 1:</w:t>
      </w:r>
      <w:r>
        <w:t xml:space="preserve"> </w:t>
      </w:r>
      <w:r>
        <w:t xml:space="preserve">Preparation, participant recruitment, and campaign development.</w:t>
      </w:r>
    </w:p>
    <w:p>
      <w:pPr>
        <w:numPr>
          <w:ilvl w:val="0"/>
          <w:numId w:val="1006"/>
        </w:numPr>
        <w:pStyle w:val="Compact"/>
      </w:pPr>
      <w:r>
        <w:rPr>
          <w:bCs/>
          <w:b/>
        </w:rPr>
        <w:t xml:space="preserve">Months 2-4:</w:t>
      </w:r>
      <w:r>
        <w:t xml:space="preserve"> </w:t>
      </w:r>
      <w:r>
        <w:t xml:space="preserve">Execution of the experiment and data collection.</w:t>
      </w:r>
    </w:p>
    <w:p>
      <w:pPr>
        <w:numPr>
          <w:ilvl w:val="0"/>
          <w:numId w:val="1006"/>
        </w:numPr>
        <w:pStyle w:val="Compact"/>
      </w:pPr>
      <w:r>
        <w:rPr>
          <w:bCs/>
          <w:b/>
        </w:rPr>
        <w:t xml:space="preserve">Month 5:</w:t>
      </w:r>
      <w:r>
        <w:t xml:space="preserve"> </w:t>
      </w:r>
      <w:r>
        <w:t xml:space="preserve">Data analysis and reporting.</w:t>
      </w:r>
    </w:p>
    <w:bookmarkEnd w:id="31"/>
    <w:bookmarkStart w:id="32" w:name="conclusion"/>
    <w:p>
      <w:pPr>
        <w:pStyle w:val="Heading2"/>
      </w:pPr>
      <w:r>
        <w:t xml:space="preserve">8. Conclusion</w:t>
      </w:r>
    </w:p>
    <w:p>
      <w:pPr>
        <w:pStyle w:val="FirstParagraph"/>
      </w:pPr>
      <w:r>
        <w:t xml:space="preserve">This Experiment Protocol provides a structured approach to evaluating the performance of a Marketing Manager in the Abu Dhabi market. By focusing on localized strategies and adhering to ethical and regulatory standards, this study aims to generate actionable insights that can enhance marketing effectiveness and drive business growth in the United Arab Emirates.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Optimization</dc:title>
  <dc:creator/>
  <dc:language>en</dc:language>
  <cp:keywords/>
  <dcterms:created xsi:type="dcterms:W3CDTF">2026-10-10T05:51:09Z</dcterms:created>
  <dcterms:modified xsi:type="dcterms:W3CDTF">2026-10-10T05:51:09Z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