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Performance</w:t>
      </w:r>
      <w:r>
        <w:t xml:space="preserve"> </w:t>
      </w:r>
      <w:r>
        <w:t xml:space="preserve">Optimization</w:t>
      </w:r>
      <w:r>
        <w:t xml:space="preserve"> </w:t>
      </w:r>
      <w:r>
        <w:t xml:space="preserve">in</w:t>
      </w:r>
      <w:r>
        <w:t xml:space="preserve"> </w:t>
      </w:r>
      <w:r>
        <w:t xml:space="preserve">Houston,</w:t>
      </w:r>
      <w:r>
        <w:t xml:space="preserve"> </w:t>
      </w:r>
      <w:r>
        <w:t xml:space="preserve">TX</w:t>
      </w:r>
    </w:p>
    <w:bookmarkStart w:id="33" w:name="X2807792274dc3794d18f15fa4a9af84714e61bc"/>
    <w:p>
      <w:pPr>
        <w:pStyle w:val="Heading1"/>
      </w:pPr>
      <w:r>
        <w:t xml:space="preserve">Experiment Protocol: Marketing Manager Strategic Impact Assessment</w:t>
      </w:r>
    </w:p>
    <w:p>
      <w:pPr>
        <w:pStyle w:val="FirstParagraph"/>
      </w:pPr>
      <w:r>
        <w:rPr>
          <w:bCs/>
          <w:b/>
        </w:rPr>
        <w:t xml:space="preserve">Protocol ID:</w:t>
      </w:r>
      <w:r>
        <w:t xml:space="preserve"> </w:t>
      </w:r>
      <w:r>
        <w:t xml:space="preserve">EXP-HOU-MM-2024-001</w:t>
      </w:r>
    </w:p>
    <w:p>
      <w:pPr>
        <w:pStyle w:val="BodyText"/>
      </w:pPr>
      <w:r>
        <w:rPr>
          <w:bCs/>
          <w:b/>
        </w:rPr>
        <w:t xml:space="preserve">Location:</w:t>
      </w:r>
      <w:r>
        <w:t xml:space="preserve"> </w:t>
      </w:r>
      <w:r>
        <w:t xml:space="preserve">Houston, Texas, United States</w:t>
      </w:r>
    </w:p>
    <w:p>
      <w:pPr>
        <w:pStyle w:val="BodyText"/>
      </w:pPr>
      <w:r>
        <w:rPr>
          <w:bCs/>
          <w:b/>
        </w:rPr>
        <w:t xml:space="preserve">Target Role:</w:t>
      </w:r>
      <w:r>
        <w:t xml:space="preserve"> </w:t>
      </w:r>
      <w:r>
        <w:t xml:space="preserve">Marketing Manager</w:t>
      </w:r>
    </w:p>
    <w:p>
      <w:pPr>
        <w:pStyle w:val="BodyText"/>
      </w:pPr>
      <w:r>
        <w:rPr>
          <w:bCs/>
          <w:b/>
        </w:rPr>
        <w:t xml:space="preserve">Date of Issue:</w:t>
      </w:r>
      <w:r>
        <w:t xml:space="preserve"> </w:t>
      </w:r>
      <w:r>
        <w:t xml:space="preserve">October 26, 2023</w:t>
      </w:r>
    </w:p>
    <w:p>
      <w:pPr>
        <w:pStyle w:val="BodyText"/>
      </w:pPr>
      <w:r>
        <w:rPr>
          <w:bCs/>
          <w:b/>
        </w:rPr>
        <w:t xml:space="preserve">Status:</w:t>
      </w:r>
      <w:r>
        <w:t xml:space="preserve"> </w:t>
      </w:r>
      <w:r>
        <w:t xml:space="preserve">Active</w:t>
      </w:r>
    </w:p>
    <w:bookmarkStart w:id="20" w:name="objective-and-scope"/>
    <w:p>
      <w:pPr>
        <w:pStyle w:val="Heading2"/>
      </w:pPr>
      <w:r>
        <w:t xml:space="preserve">1. Objective and Scope</w:t>
      </w:r>
    </w:p>
    <w:p>
      <w:pPr>
        <w:pStyle w:val="FirstParagraph"/>
      </w:pPr>
      <w:r>
        <w:t xml:space="preserve">The primary objective of this Experiment Protocol is to scientifically evaluate the efficacy of a new data-driven marketing strategy implemented by the Marketing Manager within the Houston metropolitan area. This experiment aims to quantify the impact of localized digital campaigns on customer acquisition costs (CAC) and brand engagement rates specifically within the diverse demographics of Houston, Texas.</w:t>
      </w:r>
    </w:p>
    <w:p>
      <w:pPr>
        <w:pStyle w:val="BodyText"/>
      </w:pPr>
      <w:r>
        <w:t xml:space="preserve">This protocol governs the testing phase where the Marketing Manager will deploy a split-test campaign targeting specific Houston neighborhoods (e.g., The Heights, Memorial, Downtown) versus a control group in surrounding suburban areas. The scope includes digital advertising, social media engagement, and localized content marketing efforts.</w:t>
      </w:r>
    </w:p>
    <w:bookmarkEnd w:id="20"/>
    <w:bookmarkStart w:id="21" w:name="hypothesis"/>
    <w:p>
      <w:pPr>
        <w:pStyle w:val="Heading2"/>
      </w:pPr>
      <w:r>
        <w:t xml:space="preserve">2. Hypothesis</w:t>
      </w:r>
    </w:p>
    <w:p>
      <w:pPr>
        <w:pStyle w:val="FirstParagraph"/>
      </w:pPr>
      <w:r>
        <w:rPr>
          <w:bCs/>
          <w:b/>
        </w:rPr>
        <w:t xml:space="preserve">Null Hypothesis (H0):</w:t>
      </w:r>
      <w:r>
        <w:t xml:space="preserve"> </w:t>
      </w:r>
      <w:r>
        <w:t xml:space="preserve">There is no statistically significant difference in conversion rates between the Houston-centric localized marketing strategy and the standard national campaign managed by the Marketing Manager.</w:t>
      </w:r>
    </w:p>
    <w:p>
      <w:pPr>
        <w:pStyle w:val="BodyText"/>
      </w:pPr>
      <w:r>
        <w:rPr>
          <w:bCs/>
          <w:b/>
        </w:rPr>
        <w:t xml:space="preserve">Alternative Hypothesis (H1):</w:t>
      </w:r>
      <w:r>
        <w:t xml:space="preserve"> </w:t>
      </w:r>
      <w:r>
        <w:t xml:space="preserve">The Houston-centric localized marketing strategy, tailored to the cultural and economic nuances of the United States Houston market, will result in a 15% increase in conversion rates and a 10% decrease in CAC compared to the standard national campaign.</w:t>
      </w:r>
    </w:p>
    <w:bookmarkEnd w:id="21"/>
    <w:bookmarkStart w:id="24" w:name="experimental-design"/>
    <w:p>
      <w:pPr>
        <w:pStyle w:val="Heading2"/>
      </w:pPr>
      <w:r>
        <w:t xml:space="preserve">3. Experimental Design</w:t>
      </w:r>
    </w:p>
    <w:bookmarkStart w:id="22" w:name="study-type"/>
    <w:p>
      <w:pPr>
        <w:pStyle w:val="Heading3"/>
      </w:pPr>
      <w:r>
        <w:t xml:space="preserve">3.1 Study Type</w:t>
      </w:r>
    </w:p>
    <w:p>
      <w:pPr>
        <w:pStyle w:val="FirstParagraph"/>
      </w:pPr>
      <w:r>
        <w:t xml:space="preserve">This experiment will utilize a randomized controlled trial (RCT) design. The Marketing Manager will oversee the segmentation of the target audience into two distinct groups:</w:t>
      </w:r>
    </w:p>
    <w:p>
      <w:pPr>
        <w:numPr>
          <w:ilvl w:val="0"/>
          <w:numId w:val="1001"/>
        </w:numPr>
        <w:pStyle w:val="Compact"/>
      </w:pPr>
      <w:r>
        <w:rPr>
          <w:bCs/>
          <w:b/>
        </w:rPr>
        <w:t xml:space="preserve">Treatment Group:</w:t>
      </w:r>
      <w:r>
        <w:t xml:space="preserve"> </w:t>
      </w:r>
      <w:r>
        <w:t xml:space="preserve">Residents of Houston, Texas, exposed to hyper-localized messaging referencing local landmarks, events (such as RodeoHouston or Houston Livestock Show), and community values.</w:t>
      </w:r>
    </w:p>
    <w:p>
      <w:pPr>
        <w:numPr>
          <w:ilvl w:val="0"/>
          <w:numId w:val="1001"/>
        </w:numPr>
        <w:pStyle w:val="Compact"/>
      </w:pPr>
      <w:r>
        <w:rPr>
          <w:bCs/>
          <w:b/>
        </w:rPr>
        <w:t xml:space="preserve">Control Group:</w:t>
      </w:r>
      <w:r>
        <w:t xml:space="preserve"> </w:t>
      </w:r>
      <w:r>
        <w:t xml:space="preserve">Residents of comparable Texas metropolitan areas (e.g., Austin or Dallas) exposed to the standard national marketing collateral.</w:t>
      </w:r>
    </w:p>
    <w:bookmarkEnd w:id="22"/>
    <w:bookmarkStart w:id="23" w:name="duration"/>
    <w:p>
      <w:pPr>
        <w:pStyle w:val="Heading3"/>
      </w:pPr>
      <w:r>
        <w:t xml:space="preserve">3.2 Duration</w:t>
      </w:r>
    </w:p>
    <w:p>
      <w:pPr>
        <w:pStyle w:val="FirstParagraph"/>
      </w:pPr>
      <w:r>
        <w:t xml:space="preserve">The experiment will run for a period of 60 days to account for seasonal variations in the Houston market. The timeline includes a 7-day setup phase, a 45-day active testing phase, and an 8-day analysis phase.</w:t>
      </w:r>
    </w:p>
    <w:bookmarkEnd w:id="23"/>
    <w:bookmarkEnd w:id="24"/>
    <w:bookmarkStart w:id="27" w:name="methodology-and-procedures"/>
    <w:p>
      <w:pPr>
        <w:pStyle w:val="Heading2"/>
      </w:pPr>
      <w:r>
        <w:t xml:space="preserve">4. Methodology and Procedures</w:t>
      </w:r>
    </w:p>
    <w:bookmarkStart w:id="25" w:name="role-of-the-marketing-manager"/>
    <w:p>
      <w:pPr>
        <w:pStyle w:val="Heading3"/>
      </w:pPr>
      <w:r>
        <w:t xml:space="preserve">4.1 Role of the Marketing Manager</w:t>
      </w:r>
    </w:p>
    <w:p>
      <w:pPr>
        <w:pStyle w:val="FirstParagraph"/>
      </w:pPr>
      <w:r>
        <w:t xml:space="preserve">The Marketing Manager is responsible for the end-to-end execution of this protocol. Specific duties include:</w:t>
      </w:r>
    </w:p>
    <w:p>
      <w:pPr>
        <w:numPr>
          <w:ilvl w:val="0"/>
          <w:numId w:val="1002"/>
        </w:numPr>
        <w:pStyle w:val="Compact"/>
      </w:pPr>
      <w:r>
        <w:rPr>
          <w:bCs/>
          <w:b/>
        </w:rPr>
        <w:t xml:space="preserve">Creative Development:</w:t>
      </w:r>
      <w:r>
        <w:t xml:space="preserve"> </w:t>
      </w:r>
      <w:r>
        <w:t xml:space="preserve">Designing ad creatives that resonate with the Houston demographic, ensuring cultural sensitivity and relevance to the local United States Houston economy.</w:t>
      </w:r>
    </w:p>
    <w:p>
      <w:pPr>
        <w:numPr>
          <w:ilvl w:val="0"/>
          <w:numId w:val="1002"/>
        </w:numPr>
        <w:pStyle w:val="Compact"/>
      </w:pPr>
      <w:r>
        <w:rPr>
          <w:bCs/>
          <w:b/>
        </w:rPr>
        <w:t xml:space="preserve">Channel Selection:</w:t>
      </w:r>
      <w:r>
        <w:t xml:space="preserve"> </w:t>
      </w:r>
      <w:r>
        <w:t xml:space="preserve">Allocating budget across platforms popular in the region, including Facebook, Instagram, LinkedIn, and local Houston radio or digital publications.</w:t>
      </w:r>
    </w:p>
    <w:p>
      <w:pPr>
        <w:numPr>
          <w:ilvl w:val="0"/>
          <w:numId w:val="1002"/>
        </w:numPr>
        <w:pStyle w:val="Compact"/>
      </w:pPr>
      <w:r>
        <w:rPr>
          <w:bCs/>
          <w:b/>
        </w:rPr>
        <w:t xml:space="preserve">Monitoring:</w:t>
      </w:r>
      <w:r>
        <w:t xml:space="preserve"> </w:t>
      </w:r>
      <w:r>
        <w:t xml:space="preserve">Daily review of campaign metrics to ensure compliance with the protocol and immediate adjustment of bidding strategies if anomalies occur.</w:t>
      </w:r>
    </w:p>
    <w:bookmarkEnd w:id="25"/>
    <w:bookmarkStart w:id="26" w:name="data-collection"/>
    <w:p>
      <w:pPr>
        <w:pStyle w:val="Heading3"/>
      </w:pPr>
      <w:r>
        <w:t xml:space="preserve">4.2 Data Collection</w:t>
      </w:r>
    </w:p>
    <w:p>
      <w:pPr>
        <w:pStyle w:val="FirstParagraph"/>
      </w:pPr>
      <w:r>
        <w:t xml:space="preserve">Data will be collected via Google Analytics 4, social media insights dashboards, and CRM integration. Key performance indicators (KPIs) include:</w:t>
      </w:r>
    </w:p>
    <w:p>
      <w:pPr>
        <w:numPr>
          <w:ilvl w:val="0"/>
          <w:numId w:val="1003"/>
        </w:numPr>
        <w:pStyle w:val="Compact"/>
      </w:pPr>
      <w:r>
        <w:t xml:space="preserve">Click-Through Rate (CTR)</w:t>
      </w:r>
    </w:p>
    <w:p>
      <w:pPr>
        <w:numPr>
          <w:ilvl w:val="0"/>
          <w:numId w:val="1003"/>
        </w:numPr>
        <w:pStyle w:val="Compact"/>
      </w:pPr>
      <w:r>
        <w:t xml:space="preserve">Conversion Rate (CR)</w:t>
      </w:r>
    </w:p>
    <w:p>
      <w:pPr>
        <w:numPr>
          <w:ilvl w:val="0"/>
          <w:numId w:val="1003"/>
        </w:numPr>
        <w:pStyle w:val="Compact"/>
      </w:pPr>
      <w:r>
        <w:t xml:space="preserve">Cost Per Acquisition (CPA)</w:t>
      </w:r>
    </w:p>
    <w:p>
      <w:pPr>
        <w:numPr>
          <w:ilvl w:val="0"/>
          <w:numId w:val="1003"/>
        </w:numPr>
        <w:pStyle w:val="Compact"/>
      </w:pPr>
      <w:r>
        <w:t xml:space="preserve">Return on Ad Spend (ROAS)</w:t>
      </w:r>
    </w:p>
    <w:p>
      <w:pPr>
        <w:numPr>
          <w:ilvl w:val="0"/>
          <w:numId w:val="1003"/>
        </w:numPr>
        <w:pStyle w:val="Compact"/>
      </w:pPr>
      <w:r>
        <w:t xml:space="preserve">Engagement Rate (Likes, Shares, Comments)</w:t>
      </w:r>
    </w:p>
    <w:p>
      <w:pPr>
        <w:pStyle w:val="FirstParagraph"/>
      </w:pPr>
      <w:r>
        <w:t xml:space="preserve">All data must be anonymized to comply with United States privacy regulations and internal company policies.</w:t>
      </w:r>
    </w:p>
    <w:bookmarkEnd w:id="26"/>
    <w:bookmarkEnd w:id="27"/>
    <w:bookmarkStart w:id="28" w:name="inclusion-and-exclusion-criteria"/>
    <w:p>
      <w:pPr>
        <w:pStyle w:val="Heading2"/>
      </w:pPr>
      <w:r>
        <w:t xml:space="preserve">5. Inclusion and Exclusion Criteria</w:t>
      </w:r>
    </w:p>
    <w:p>
      <w:pPr>
        <w:pStyle w:val="FirstParagraph"/>
      </w:pPr>
      <w:r>
        <w:rPr>
          <w:bCs/>
          <w:b/>
        </w:rPr>
        <w:t xml:space="preserve">Inclusion Criteria:</w:t>
      </w:r>
    </w:p>
    <w:p>
      <w:pPr>
        <w:numPr>
          <w:ilvl w:val="0"/>
          <w:numId w:val="1004"/>
        </w:numPr>
        <w:pStyle w:val="Compact"/>
      </w:pPr>
      <w:r>
        <w:t xml:space="preserve">Users geolocated within a 50-mile radius of Houston, Texas.</w:t>
      </w:r>
    </w:p>
    <w:p>
      <w:pPr>
        <w:numPr>
          <w:ilvl w:val="0"/>
          <w:numId w:val="1004"/>
        </w:numPr>
        <w:pStyle w:val="Compact"/>
      </w:pPr>
      <w:r>
        <w:t xml:space="preserve">Users aged 25-55, representing the primary spending demographic in the region.</w:t>
      </w:r>
    </w:p>
    <w:p>
      <w:pPr>
        <w:numPr>
          <w:ilvl w:val="0"/>
          <w:numId w:val="1004"/>
        </w:numPr>
        <w:pStyle w:val="Compact"/>
      </w:pPr>
      <w:r>
        <w:t xml:space="preserve">Users who have not interacted with the brand in the last 90 days (cold audience).</w:t>
      </w:r>
    </w:p>
    <w:p>
      <w:pPr>
        <w:pStyle w:val="FirstParagraph"/>
      </w:pPr>
      <w:r>
        <w:rPr>
          <w:bCs/>
          <w:b/>
        </w:rPr>
        <w:t xml:space="preserve">Exclusion Criteria:</w:t>
      </w:r>
    </w:p>
    <w:p>
      <w:pPr>
        <w:numPr>
          <w:ilvl w:val="0"/>
          <w:numId w:val="1005"/>
        </w:numPr>
        <w:pStyle w:val="Compact"/>
      </w:pPr>
      <w:r>
        <w:t xml:space="preserve">Users identified as employees of the company or its direct competitors.</w:t>
      </w:r>
    </w:p>
    <w:p>
      <w:pPr>
        <w:numPr>
          <w:ilvl w:val="0"/>
          <w:numId w:val="1005"/>
        </w:numPr>
        <w:pStyle w:val="Compact"/>
      </w:pPr>
      <w:r>
        <w:t xml:space="preserve">Users with bot-like behavior patterns detected by fraud prevention tools.</w:t>
      </w:r>
    </w:p>
    <w:p>
      <w:pPr>
        <w:numPr>
          <w:ilvl w:val="0"/>
          <w:numId w:val="1005"/>
        </w:numPr>
        <w:pStyle w:val="Compact"/>
      </w:pPr>
      <w:r>
        <w:t xml:space="preserve">Users who have opted out of marketing communications.</w:t>
      </w:r>
    </w:p>
    <w:bookmarkEnd w:id="28"/>
    <w:bookmarkStart w:id="29" w:name="risk-management-and-ethics"/>
    <w:p>
      <w:pPr>
        <w:pStyle w:val="Heading2"/>
      </w:pPr>
      <w:r>
        <w:t xml:space="preserve">6. Risk Management and Ethics</w:t>
      </w:r>
    </w:p>
    <w:p>
      <w:pPr>
        <w:pStyle w:val="FirstParagraph"/>
      </w:pPr>
      <w:r>
        <w:t xml:space="preserve">The Marketing Manager must ensure that all marketing materials adhere to the Federal Trade Commission (FTC) guidelines regarding truth in advertising. Special attention must be paid to avoiding discriminatory practices in targeting within the diverse Houston population. If the experiment results in negative brand sentiment exceeding a predefined threshold (e.g., a 5% increase in negative social mentions), the Marketing Manager is authorized to halt the experiment immediately.</w:t>
      </w:r>
    </w:p>
    <w:bookmarkEnd w:id="29"/>
    <w:bookmarkStart w:id="30" w:name="data-analysis-plan"/>
    <w:p>
      <w:pPr>
        <w:pStyle w:val="Heading2"/>
      </w:pPr>
      <w:r>
        <w:t xml:space="preserve">7. Data Analysis Plan</w:t>
      </w:r>
    </w:p>
    <w:p>
      <w:pPr>
        <w:pStyle w:val="FirstParagraph"/>
      </w:pPr>
      <w:r>
        <w:t xml:space="preserve">Upon completion of the 45-day testing phase, the Marketing Manager will collaborate with the Data Analytics team to perform a statistical analysis. A t-test will be used to compare the mean conversion rates of the Treatment and Control groups. A p-value of less than 0.05 will be considered statistically significant. The analysis will also include a breakdown of performance by specific Houston zip codes to identify high-performing micro-markets.</w:t>
      </w:r>
    </w:p>
    <w:bookmarkEnd w:id="30"/>
    <w:bookmarkStart w:id="31" w:name="reporting-and-deliverables"/>
    <w:p>
      <w:pPr>
        <w:pStyle w:val="Heading2"/>
      </w:pPr>
      <w:r>
        <w:t xml:space="preserve">8. Reporting and Deliverables</w:t>
      </w:r>
    </w:p>
    <w:p>
      <w:pPr>
        <w:pStyle w:val="FirstParagraph"/>
      </w:pPr>
      <w:r>
        <w:t xml:space="preserve">The Marketing Manager is required to submit a comprehensive report detailing:</w:t>
      </w:r>
    </w:p>
    <w:p>
      <w:pPr>
        <w:numPr>
          <w:ilvl w:val="0"/>
          <w:numId w:val="1006"/>
        </w:numPr>
        <w:pStyle w:val="Compact"/>
      </w:pPr>
      <w:r>
        <w:t xml:space="preserve">Executive Summary of findings.</w:t>
      </w:r>
    </w:p>
    <w:p>
      <w:pPr>
        <w:numPr>
          <w:ilvl w:val="0"/>
          <w:numId w:val="1006"/>
        </w:numPr>
        <w:pStyle w:val="Compact"/>
      </w:pPr>
      <w:r>
        <w:t xml:space="preserve">Detailed performance metrics for the Houston market.</w:t>
      </w:r>
    </w:p>
    <w:p>
      <w:pPr>
        <w:numPr>
          <w:ilvl w:val="0"/>
          <w:numId w:val="1006"/>
        </w:numPr>
        <w:pStyle w:val="Compact"/>
      </w:pPr>
      <w:r>
        <w:t xml:space="preserve">Comparison against the control group.</w:t>
      </w:r>
    </w:p>
    <w:p>
      <w:pPr>
        <w:numPr>
          <w:ilvl w:val="0"/>
          <w:numId w:val="1006"/>
        </w:numPr>
        <w:pStyle w:val="Compact"/>
      </w:pPr>
      <w:r>
        <w:t xml:space="preserve">Recommendations for scaling the strategy across other United States markets.</w:t>
      </w:r>
    </w:p>
    <w:p>
      <w:pPr>
        <w:pStyle w:val="FirstParagraph"/>
      </w:pPr>
      <w:r>
        <w:t xml:space="preserve">This report will serve as the basis for future budget allocation and strategic planning for the Houston region.</w:t>
      </w:r>
    </w:p>
    <w:bookmarkEnd w:id="31"/>
    <w:bookmarkStart w:id="32" w:name="approval"/>
    <w:p>
      <w:pPr>
        <w:pStyle w:val="Heading2"/>
      </w:pPr>
      <w:r>
        <w:t xml:space="preserve">9. Approval</w:t>
      </w:r>
    </w:p>
    <w:p>
      <w:pPr>
        <w:pStyle w:val="FirstParagraph"/>
      </w:pPr>
      <w:r>
        <w:t xml:space="preserve">This Experiment Protocol has been reviewed and approved by the Chief Marketing Officer and the Regional Director for the Southern United States.</w:t>
      </w:r>
    </w:p>
    <w:p>
      <w:pPr>
        <w:pStyle w:val="BodyText"/>
      </w:pPr>
      <w:r>
        <w:rPr>
          <w:bCs/>
          <w:b/>
        </w:rPr>
        <w:t xml:space="preserve">Approved By:</w:t>
      </w:r>
      <w:r>
        <w:t xml:space="preserve"> </w:t>
      </w:r>
      <w:r>
        <w:t xml:space="preserve">__________________________ (Signature)</w:t>
      </w:r>
    </w:p>
    <w:p>
      <w:pPr>
        <w:pStyle w:val="BodyText"/>
      </w:pPr>
      <w:r>
        <w:rPr>
          <w:bCs/>
          <w:b/>
        </w:rPr>
        <w:t xml:space="preserve">Date:</w:t>
      </w:r>
      <w:r>
        <w:t xml:space="preserve"> </w:t>
      </w:r>
      <w:r>
        <w:t xml:space="preserve">__________________________</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Performance Optimization in Houston, TX</dc:title>
  <dc:creator/>
  <dc:language>en</dc:language>
  <cp:keywords/>
  <dcterms:created xsi:type="dcterms:W3CDTF">2026-10-10T07:35:18Z</dcterms:created>
  <dcterms:modified xsi:type="dcterms:W3CDTF">2026-10-10T07:35:18Z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