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Tashkent,</w:t>
      </w:r>
      <w:r>
        <w:t xml:space="preserve"> </w:t>
      </w:r>
      <w:r>
        <w:t xml:space="preserve">Uzbekistan</w:t>
      </w:r>
    </w:p>
    <w:bookmarkStart w:id="32" w:name="X71e12b453f11383144827c6bf57d1dd86af52c5"/>
    <w:p>
      <w:pPr>
        <w:pStyle w:val="Heading1"/>
      </w:pPr>
      <w:r>
        <w:t xml:space="preserve">Experiment Protocol: Digital Marketing Strategy Optimization for the Marketing Manager Role in Tashkent, Uzbekistan</w:t>
      </w:r>
    </w:p>
    <w:p>
      <w:pPr>
        <w:pStyle w:val="FirstParagraph"/>
      </w:pPr>
      <w:r>
        <w:rPr>
          <w:bCs/>
          <w:b/>
        </w:rPr>
        <w:t xml:space="preserve">Protocol ID:</w:t>
      </w:r>
      <w:r>
        <w:t xml:space="preserve"> </w:t>
      </w:r>
      <w:r>
        <w:t xml:space="preserve">MKT-TSK-2023-001</w:t>
      </w:r>
    </w:p>
    <w:p>
      <w:pPr>
        <w:pStyle w:val="BodyText"/>
      </w:pPr>
      <w:r>
        <w:rPr>
          <w:bCs/>
          <w:b/>
        </w:rPr>
        <w:t xml:space="preserve">Location:</w:t>
      </w:r>
      <w:r>
        <w:t xml:space="preserve"> </w:t>
      </w:r>
      <w:r>
        <w:t xml:space="preserve">Tashkent, Uzbekistan</w:t>
      </w:r>
    </w:p>
    <w:p>
      <w:pPr>
        <w:pStyle w:val="BodyText"/>
      </w:pPr>
      <w:r>
        <w:rPr>
          <w:bCs/>
          <w:b/>
        </w:rPr>
        <w:t xml:space="preserve">Target Role:</w:t>
      </w:r>
      <w:r>
        <w:t xml:space="preserve"> </w:t>
      </w:r>
      <w:r>
        <w:t xml:space="preserve">Marketing Manager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purpose of this Experiment Protocol is to define the methodology for evaluating the effectiveness of new digital marketing strategies implemented by the Marketing Manager within the Tashkent market. Uzbekistan is currently experiencing a rapid digital transformation, with Tashkent serving as the economic and technological hub. The local consumer behavior is shifting significantly towards mobile-first platforms, social commerce, and localized content.</w:t>
      </w:r>
    </w:p>
    <w:p>
      <w:pPr>
        <w:pStyle w:val="BodyText"/>
      </w:pPr>
      <w:r>
        <w:t xml:space="preserve">This experiment aims to test whether a hyper-localized content strategy, tailored specifically to the cultural nuances of Tashkent residents, yields higher engagement and conversion rates compared to standardized regional campaigns. The Marketing Manager will oversee the execution of this protocol to gather empirical data on consumer response.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Uzbek-language content versus Russian-language content on brand engagement in Tashkent.</w:t>
      </w:r>
    </w:p>
    <w:p>
      <w:pPr>
        <w:numPr>
          <w:ilvl w:val="0"/>
          <w:numId w:val="1001"/>
        </w:numPr>
        <w:pStyle w:val="Compact"/>
      </w:pPr>
      <w:r>
        <w:t xml:space="preserve">To evaluate the performance of local influencers versus traditional advertising channels.</w:t>
      </w:r>
    </w:p>
    <w:p>
      <w:pPr>
        <w:numPr>
          <w:ilvl w:val="0"/>
          <w:numId w:val="1001"/>
        </w:numPr>
        <w:pStyle w:val="Compact"/>
      </w:pPr>
      <w:r>
        <w:t xml:space="preserve">To determine the optimal posting times for social media platforms popular in Uzbekistan (e.g., Instagram, Telegram, TikTok).</w:t>
      </w:r>
    </w:p>
    <w:p>
      <w:pPr>
        <w:numPr>
          <w:ilvl w:val="0"/>
          <w:numId w:val="1001"/>
        </w:numPr>
        <w:pStyle w:val="Compact"/>
      </w:pPr>
      <w:r>
        <w:t xml:space="preserve">To assess the Marketing Manager's ability to adapt global brand guidelines to local cultural contexts.</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Campaigns utilizing native Uzbek language and local cultural references will result in a 25% higher click-through rate (CTR) than campaigns using Russian or English.</w:t>
      </w:r>
    </w:p>
    <w:p>
      <w:pPr>
        <w:pStyle w:val="BodyText"/>
      </w:pPr>
      <w:r>
        <w:rPr>
          <w:bCs/>
          <w:b/>
        </w:rPr>
        <w:t xml:space="preserve">H2:</w:t>
      </w:r>
      <w:r>
        <w:t xml:space="preserve"> </w:t>
      </w:r>
      <w:r>
        <w:t xml:space="preserve">Collaborations with micro-influencers based in Tashkent will generate a lower cost per acquisition (CPA) compared to broad display advertising.</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experiment will utilize a randomized controlled trial (RCT) design. The target audience in Tashkent will be segmented into two groups:</w:t>
      </w:r>
    </w:p>
    <w:p>
      <w:pPr>
        <w:numPr>
          <w:ilvl w:val="0"/>
          <w:numId w:val="1002"/>
        </w:numPr>
        <w:pStyle w:val="Compact"/>
      </w:pPr>
      <w:r>
        <w:rPr>
          <w:bCs/>
          <w:b/>
        </w:rPr>
        <w:t xml:space="preserve">Control Group (Group A):</w:t>
      </w:r>
      <w:r>
        <w:t xml:space="preserve"> </w:t>
      </w:r>
      <w:r>
        <w:t xml:space="preserve">Exposed to the standard regional marketing campaign (Russian language, generic imagery).</w:t>
      </w:r>
    </w:p>
    <w:p>
      <w:pPr>
        <w:numPr>
          <w:ilvl w:val="0"/>
          <w:numId w:val="1002"/>
        </w:numPr>
        <w:pStyle w:val="Compact"/>
      </w:pPr>
      <w:r>
        <w:rPr>
          <w:bCs/>
          <w:b/>
        </w:rPr>
        <w:t xml:space="preserve">Treatment Group (Group B):</w:t>
      </w:r>
      <w:r>
        <w:t xml:space="preserve"> </w:t>
      </w:r>
      <w:r>
        <w:t xml:space="preserve">Exposed to the localized Tashkent-specific campaign (Uzbek language, local landmarks, local influencers).</w:t>
      </w:r>
    </w:p>
    <w:bookmarkEnd w:id="23"/>
    <w:bookmarkStart w:id="24" w:name="duration"/>
    <w:p>
      <w:pPr>
        <w:pStyle w:val="Heading3"/>
      </w:pPr>
      <w:r>
        <w:t xml:space="preserve">4.2. Duration</w:t>
      </w:r>
    </w:p>
    <w:p>
      <w:pPr>
        <w:pStyle w:val="FirstParagraph"/>
      </w:pPr>
      <w:r>
        <w:t xml:space="preserve">The experiment will run for a period of 6 weeks, starting from November 1st to December 15th. This timeframe covers the pre-holiday shopping season, which is critical for retail and service marketing in Uzbekistan.</w:t>
      </w:r>
    </w:p>
    <w:bookmarkEnd w:id="24"/>
    <w:bookmarkStart w:id="25" w:name="channels"/>
    <w:p>
      <w:pPr>
        <w:pStyle w:val="Heading3"/>
      </w:pPr>
      <w:r>
        <w:t xml:space="preserve">4.3. Channels</w:t>
      </w:r>
    </w:p>
    <w:p>
      <w:pPr>
        <w:pStyle w:val="FirstParagraph"/>
      </w:pPr>
      <w:r>
        <w:t xml:space="preserve">The Marketing Manager will deploy the experiment across the following platforms, which are dominant in the Tashkent market:</w:t>
      </w:r>
    </w:p>
    <w:p>
      <w:pPr>
        <w:numPr>
          <w:ilvl w:val="0"/>
          <w:numId w:val="1003"/>
        </w:numPr>
        <w:pStyle w:val="Compact"/>
      </w:pPr>
      <w:r>
        <w:rPr>
          <w:bCs/>
          <w:b/>
        </w:rPr>
        <w:t xml:space="preserve">Instagram:</w:t>
      </w:r>
      <w:r>
        <w:t xml:space="preserve"> </w:t>
      </w:r>
      <w:r>
        <w:t xml:space="preserve">For visual storytelling and influencer partnerships.</w:t>
      </w:r>
    </w:p>
    <w:p>
      <w:pPr>
        <w:numPr>
          <w:ilvl w:val="0"/>
          <w:numId w:val="1003"/>
        </w:numPr>
        <w:pStyle w:val="Compact"/>
      </w:pPr>
      <w:r>
        <w:rPr>
          <w:bCs/>
          <w:b/>
        </w:rPr>
        <w:t xml:space="preserve">Telegram:</w:t>
      </w:r>
      <w:r>
        <w:t xml:space="preserve"> </w:t>
      </w:r>
      <w:r>
        <w:t xml:space="preserve">For direct communication and community building, given its high penetration in Uzbekistan.</w:t>
      </w:r>
    </w:p>
    <w:p>
      <w:pPr>
        <w:numPr>
          <w:ilvl w:val="0"/>
          <w:numId w:val="1003"/>
        </w:numPr>
        <w:pStyle w:val="Compact"/>
      </w:pPr>
      <w:r>
        <w:rPr>
          <w:bCs/>
          <w:b/>
        </w:rPr>
        <w:t xml:space="preserve">TikTok:</w:t>
      </w:r>
      <w:r>
        <w:t xml:space="preserve"> </w:t>
      </w:r>
      <w:r>
        <w:t xml:space="preserve">For reaching younger demographics in Tashkent through short-form video content.</w:t>
      </w:r>
    </w:p>
    <w:bookmarkEnd w:id="25"/>
    <w:bookmarkEnd w:id="26"/>
    <w:bookmarkStart w:id="27" w:name="roles-and-responsibilities"/>
    <w:p>
      <w:pPr>
        <w:pStyle w:val="Heading2"/>
      </w:pPr>
      <w:r>
        <w:t xml:space="preserve">5. Roles and Responsibilities</w:t>
      </w:r>
    </w:p>
    <w:p>
      <w:pPr>
        <w:pStyle w:val="FirstParagraph"/>
      </w:pPr>
      <w:r>
        <w:t xml:space="preserve">The Marketing Manager is the primary executor of this protocol. Their responsibilities include:</w:t>
      </w:r>
    </w:p>
    <w:p>
      <w:pPr>
        <w:numPr>
          <w:ilvl w:val="0"/>
          <w:numId w:val="1004"/>
        </w:numPr>
        <w:pStyle w:val="Compact"/>
      </w:pPr>
      <w:r>
        <w:rPr>
          <w:bCs/>
          <w:b/>
        </w:rPr>
        <w:t xml:space="preserve">Content Creation:</w:t>
      </w:r>
      <w:r>
        <w:t xml:space="preserve"> </w:t>
      </w:r>
      <w:r>
        <w:t xml:space="preserve">Overseeing the production of localized assets that resonate with Tashkent's urban culture.</w:t>
      </w:r>
    </w:p>
    <w:p>
      <w:pPr>
        <w:numPr>
          <w:ilvl w:val="0"/>
          <w:numId w:val="1004"/>
        </w:numPr>
        <w:pStyle w:val="Compact"/>
      </w:pPr>
      <w:r>
        <w:rPr>
          <w:bCs/>
          <w:b/>
        </w:rPr>
        <w:t xml:space="preserve">Influencer Management:</w:t>
      </w:r>
      <w:r>
        <w:t xml:space="preserve"> </w:t>
      </w:r>
      <w:r>
        <w:t xml:space="preserve">Negotiating contracts with local creators and ensuring brand alignment.</w:t>
      </w:r>
    </w:p>
    <w:p>
      <w:pPr>
        <w:numPr>
          <w:ilvl w:val="0"/>
          <w:numId w:val="1004"/>
        </w:numPr>
        <w:pStyle w:val="Compact"/>
      </w:pPr>
      <w:r>
        <w:rPr>
          <w:bCs/>
          <w:b/>
        </w:rPr>
        <w:t xml:space="preserve">Data Monitoring:</w:t>
      </w:r>
      <w:r>
        <w:t xml:space="preserve"> </w:t>
      </w:r>
      <w:r>
        <w:t xml:space="preserve">Daily tracking of key performance indicators (KPIs) using analytics tools.</w:t>
      </w:r>
    </w:p>
    <w:p>
      <w:pPr>
        <w:numPr>
          <w:ilvl w:val="0"/>
          <w:numId w:val="1004"/>
        </w:numPr>
        <w:pStyle w:val="Compact"/>
      </w:pPr>
      <w:r>
        <w:rPr>
          <w:bCs/>
          <w:b/>
        </w:rPr>
        <w:t xml:space="preserve">Compliance:</w:t>
      </w:r>
      <w:r>
        <w:t xml:space="preserve"> </w:t>
      </w:r>
      <w:r>
        <w:t xml:space="preserve">Ensuring all marketing activities adhere to the advertising laws of the Republic of Uzbekistan.</w:t>
      </w:r>
    </w:p>
    <w:bookmarkEnd w:id="27"/>
    <w:bookmarkStart w:id="28" w:name="key-performance-indicators-kpis"/>
    <w:p>
      <w:pPr>
        <w:pStyle w:val="Heading2"/>
      </w:pPr>
      <w:r>
        <w:t xml:space="preserve">6. Key Performance Indicators (KPIs)</w:t>
      </w:r>
    </w:p>
    <w:p>
      <w:pPr>
        <w:pStyle w:val="FirstParagraph"/>
      </w:pPr>
      <w:r>
        <w:t xml:space="preserve">Success will be measured using the following metrics:</w:t>
      </w:r>
    </w:p>
    <w:p>
      <w:pPr>
        <w:numPr>
          <w:ilvl w:val="0"/>
          <w:numId w:val="1005"/>
        </w:numPr>
        <w:pStyle w:val="Compact"/>
      </w:pPr>
      <w:r>
        <w:rPr>
          <w:bCs/>
          <w:b/>
        </w:rPr>
        <w:t xml:space="preserve">Engagement Rate:</w:t>
      </w:r>
      <w:r>
        <w:t xml:space="preserve"> </w:t>
      </w:r>
      <w:r>
        <w:t xml:space="preserve">Likes, comments, shares, and saves per post.</w:t>
      </w:r>
    </w:p>
    <w:p>
      <w:pPr>
        <w:numPr>
          <w:ilvl w:val="0"/>
          <w:numId w:val="1005"/>
        </w:numPr>
        <w:pStyle w:val="Compact"/>
      </w:pPr>
      <w:r>
        <w:rPr>
          <w:bCs/>
          <w:b/>
        </w:rPr>
        <w:t xml:space="preserve">Click-Through Rate (CTR):</w:t>
      </w:r>
      <w:r>
        <w:t xml:space="preserve"> </w:t>
      </w:r>
      <w:r>
        <w:t xml:space="preserve">Percentage of users who click on the call-to-action link.</w:t>
      </w:r>
    </w:p>
    <w:p>
      <w:pPr>
        <w:numPr>
          <w:ilvl w:val="0"/>
          <w:numId w:val="1005"/>
        </w:numPr>
        <w:pStyle w:val="Compact"/>
      </w:pPr>
      <w:r>
        <w:rPr>
          <w:bCs/>
          <w:b/>
        </w:rPr>
        <w:t xml:space="preserve">Conversion Rate:</w:t>
      </w:r>
      <w:r>
        <w:t xml:space="preserve"> </w:t>
      </w:r>
      <w:r>
        <w:t xml:space="preserve">Percentage of users who complete a desired action (purchase, sign-up).</w:t>
      </w:r>
    </w:p>
    <w:p>
      <w:pPr>
        <w:numPr>
          <w:ilvl w:val="0"/>
          <w:numId w:val="1005"/>
        </w:numPr>
        <w:pStyle w:val="Compact"/>
      </w:pPr>
      <w:r>
        <w:rPr>
          <w:bCs/>
          <w:b/>
        </w:rPr>
        <w:t xml:space="preserve">Cost Per Acquisition (CPA):</w:t>
      </w:r>
      <w:r>
        <w:t xml:space="preserve"> </w:t>
      </w:r>
      <w:r>
        <w:t xml:space="preserve">Total ad spend divided by the number of conversions.</w:t>
      </w:r>
    </w:p>
    <w:p>
      <w:pPr>
        <w:numPr>
          <w:ilvl w:val="0"/>
          <w:numId w:val="1005"/>
        </w:numPr>
        <w:pStyle w:val="Compact"/>
      </w:pPr>
      <w:r>
        <w:rPr>
          <w:bCs/>
          <w:b/>
        </w:rPr>
        <w:t xml:space="preserve">Sentiment Analysis:</w:t>
      </w:r>
      <w:r>
        <w:t xml:space="preserve"> </w:t>
      </w:r>
      <w:r>
        <w:t xml:space="preserve">Qualitative assessment of user comments in Uzbek and Russian.</w:t>
      </w:r>
    </w:p>
    <w:bookmarkEnd w:id="28"/>
    <w:bookmarkStart w:id="29" w:name="data-collection-and-analysis"/>
    <w:p>
      <w:pPr>
        <w:pStyle w:val="Heading2"/>
      </w:pPr>
      <w:r>
        <w:t xml:space="preserve">7. Data Collection and Analysis</w:t>
      </w:r>
    </w:p>
    <w:p>
      <w:pPr>
        <w:pStyle w:val="FirstParagraph"/>
      </w:pPr>
      <w:r>
        <w:t xml:space="preserve">Data will be collected using native platform analytics and third-party tools. The Marketing Manager must ensure data integrity by avoiding overlap between the Control and Treatment groups. At the end of the 6-week period, a comparative analysis will be conducted to determine statistical significance.</w:t>
      </w:r>
    </w:p>
    <w:p>
      <w:pPr>
        <w:pStyle w:val="BodyText"/>
      </w:pPr>
      <w:r>
        <w:t xml:space="preserve">Special attention will be paid to the linguistic nuances. For example, the use of "Toshkent" (Uzbek) versus "Tashkent" (Russian/International) in hashtags and copy will be analyzed for its impact on local discoverability.</w:t>
      </w:r>
    </w:p>
    <w:bookmarkEnd w:id="29"/>
    <w:bookmarkStart w:id="30" w:name="risk-management"/>
    <w:p>
      <w:pPr>
        <w:pStyle w:val="Heading2"/>
      </w:pPr>
      <w:r>
        <w:t xml:space="preserve">8. Risk Management</w:t>
      </w:r>
    </w:p>
    <w:p>
      <w:pPr>
        <w:pStyle w:val="FirstParagraph"/>
      </w:pPr>
      <w:r>
        <w:t xml:space="preserve">Potential risks include:</w:t>
      </w:r>
    </w:p>
    <w:p>
      <w:pPr>
        <w:numPr>
          <w:ilvl w:val="0"/>
          <w:numId w:val="1006"/>
        </w:numPr>
        <w:pStyle w:val="Compact"/>
      </w:pPr>
      <w:r>
        <w:rPr>
          <w:bCs/>
          <w:b/>
        </w:rPr>
        <w:t xml:space="preserve">Cultural Misinterpretation:</w:t>
      </w:r>
      <w:r>
        <w:t xml:space="preserve"> </w:t>
      </w:r>
      <w:r>
        <w:t xml:space="preserve">Content may inadvertently offend local sensibilities. Mitigation: Pre-testing content with a local focus group.</w:t>
      </w:r>
    </w:p>
    <w:p>
      <w:pPr>
        <w:numPr>
          <w:ilvl w:val="0"/>
          <w:numId w:val="1006"/>
        </w:numPr>
        <w:pStyle w:val="Compact"/>
      </w:pPr>
      <w:r>
        <w:rPr>
          <w:bCs/>
          <w:b/>
        </w:rPr>
        <w:t xml:space="preserve">Technical Issues:</w:t>
      </w:r>
      <w:r>
        <w:t xml:space="preserve"> </w:t>
      </w:r>
      <w:r>
        <w:t xml:space="preserve">Internet connectivity or platform outages. Mitigation: Diversifying channels and having backup content ready.</w:t>
      </w:r>
    </w:p>
    <w:p>
      <w:pPr>
        <w:numPr>
          <w:ilvl w:val="0"/>
          <w:numId w:val="1006"/>
        </w:numPr>
        <w:pStyle w:val="Compact"/>
      </w:pPr>
      <w:r>
        <w:rPr>
          <w:bCs/>
          <w:b/>
        </w:rPr>
        <w:t xml:space="preserve">Regulatory Changes:</w:t>
      </w:r>
      <w:r>
        <w:t xml:space="preserve"> </w:t>
      </w:r>
      <w:r>
        <w:t xml:space="preserve">New advertising regulations in Uzbekistan. Mitigation: Continuous monitoring of legal updates by the Marketing Manager.</w:t>
      </w:r>
    </w:p>
    <w:bookmarkEnd w:id="30"/>
    <w:bookmarkStart w:id="31" w:name="conclusion-and-reporting"/>
    <w:p>
      <w:pPr>
        <w:pStyle w:val="Heading2"/>
      </w:pPr>
      <w:r>
        <w:t xml:space="preserve">9. Conclusion and Reporting</w:t>
      </w:r>
    </w:p>
    <w:p>
      <w:pPr>
        <w:pStyle w:val="FirstParagraph"/>
      </w:pPr>
      <w:r>
        <w:t xml:space="preserve">Upon completion of the experiment, the Marketing Manager will submit a comprehensive report detailing the findings. This report will include recommendations for future marketing strategies in Tashkent and Uzbekistan. The insights gained will inform the broader regional marketing plan and help optimize budget allocation for maximum ROI.</w:t>
      </w:r>
    </w:p>
    <w:p>
      <w:pPr>
        <w:pStyle w:val="BodyText"/>
      </w:pPr>
      <w:r>
        <w:rPr>
          <w:bCs/>
          <w:b/>
        </w:rPr>
        <w:t xml:space="preserve">Note:</w:t>
      </w:r>
      <w:r>
        <w:t xml:space="preserve"> </w:t>
      </w:r>
      <w:r>
        <w:t xml:space="preserve">This protocol is confidential and intended for internal use only. Any modifications to the experimental design must be approved by the senior management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Tashkent, Uzbekistan</dc:title>
  <dc:creator/>
  <dc:language>en</dc:language>
  <cp:keywords/>
  <dcterms:created xsi:type="dcterms:W3CDTF">2026-10-10T01:22:46Z</dcterms:created>
  <dcterms:modified xsi:type="dcterms:W3CDTF">2026-10-10T01:22:46Z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